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66D32" w14:textId="77777777" w:rsidR="005B0F75" w:rsidRPr="002A111A" w:rsidRDefault="005B0F75" w:rsidP="00B446F1">
      <w:pPr>
        <w:rPr>
          <w:rFonts w:cs="Arial"/>
          <w:b/>
          <w:szCs w:val="24"/>
        </w:rPr>
      </w:pPr>
      <w:r w:rsidRPr="002A111A">
        <w:rPr>
          <w:rFonts w:cs="Arial"/>
          <w:b/>
          <w:szCs w:val="24"/>
        </w:rPr>
        <w:t>ANED 2018-</w:t>
      </w:r>
      <w:r w:rsidR="00744850" w:rsidRPr="002A111A">
        <w:rPr>
          <w:rFonts w:cs="Arial"/>
          <w:b/>
          <w:szCs w:val="24"/>
        </w:rPr>
        <w:t>1</w:t>
      </w:r>
      <w:r w:rsidRPr="002A111A">
        <w:rPr>
          <w:rFonts w:cs="Arial"/>
          <w:b/>
          <w:szCs w:val="24"/>
        </w:rPr>
        <w:t>9</w:t>
      </w:r>
      <w:r w:rsidRPr="002A111A">
        <w:rPr>
          <w:rFonts w:cs="Arial"/>
          <w:b/>
          <w:szCs w:val="24"/>
        </w:rPr>
        <w:tab/>
      </w:r>
      <w:r w:rsidRPr="002A111A">
        <w:rPr>
          <w:rFonts w:cs="Arial"/>
          <w:b/>
          <w:szCs w:val="24"/>
        </w:rPr>
        <w:tab/>
      </w:r>
      <w:r w:rsidRPr="002A111A">
        <w:rPr>
          <w:rFonts w:cs="Arial"/>
          <w:b/>
          <w:szCs w:val="24"/>
        </w:rPr>
        <w:tab/>
      </w:r>
      <w:r w:rsidRPr="002A111A">
        <w:rPr>
          <w:rFonts w:cs="Arial"/>
          <w:b/>
          <w:szCs w:val="24"/>
        </w:rPr>
        <w:tab/>
        <w:t>Task 1.2</w:t>
      </w:r>
    </w:p>
    <w:p w14:paraId="0A67DB5A" w14:textId="77777777" w:rsidR="005B0F75" w:rsidRPr="002A111A" w:rsidRDefault="005B0F75" w:rsidP="00B446F1">
      <w:pPr>
        <w:rPr>
          <w:rFonts w:cs="Arial"/>
          <w:b/>
          <w:szCs w:val="24"/>
          <w:lang w:bidi="en-US"/>
        </w:rPr>
      </w:pPr>
    </w:p>
    <w:p w14:paraId="4D56CA69" w14:textId="77777777" w:rsidR="00A75929" w:rsidRPr="002A111A" w:rsidRDefault="00A75929" w:rsidP="00B446F1">
      <w:pPr>
        <w:rPr>
          <w:rFonts w:cs="Arial"/>
          <w:b/>
          <w:szCs w:val="24"/>
          <w:lang w:bidi="en-US"/>
        </w:rPr>
      </w:pPr>
    </w:p>
    <w:p w14:paraId="159FF943" w14:textId="77777777" w:rsidR="00A75929" w:rsidRPr="002A111A" w:rsidRDefault="00A75929" w:rsidP="00B446F1">
      <w:pPr>
        <w:rPr>
          <w:rFonts w:cs="Arial"/>
          <w:b/>
          <w:szCs w:val="24"/>
          <w:lang w:bidi="en-US"/>
        </w:rPr>
      </w:pPr>
    </w:p>
    <w:p w14:paraId="352A2E05" w14:textId="77777777" w:rsidR="00A75929" w:rsidRPr="002A111A" w:rsidRDefault="00C15268" w:rsidP="00B446F1">
      <w:pPr>
        <w:rPr>
          <w:rFonts w:cs="Arial"/>
          <w:b/>
          <w:szCs w:val="24"/>
        </w:rPr>
      </w:pPr>
      <w:r w:rsidRPr="002A111A">
        <w:rPr>
          <w:rFonts w:cs="Arial"/>
          <w:b/>
          <w:szCs w:val="24"/>
        </w:rPr>
        <w:t>Living</w:t>
      </w:r>
      <w:r w:rsidR="009B0AEB" w:rsidRPr="002A111A">
        <w:rPr>
          <w:rFonts w:cs="Arial"/>
          <w:b/>
          <w:szCs w:val="24"/>
        </w:rPr>
        <w:t xml:space="preserve"> independently and being included in the community</w:t>
      </w:r>
    </w:p>
    <w:p w14:paraId="2E3455E0" w14:textId="77777777" w:rsidR="00A75929" w:rsidRPr="002A111A" w:rsidRDefault="00A75929" w:rsidP="00B446F1">
      <w:pPr>
        <w:rPr>
          <w:rFonts w:cs="Arial"/>
          <w:szCs w:val="24"/>
          <w:lang w:bidi="en-US"/>
        </w:rPr>
      </w:pPr>
    </w:p>
    <w:p w14:paraId="28CF46F9" w14:textId="77777777" w:rsidR="00A75929" w:rsidRPr="002A111A" w:rsidRDefault="00A75929" w:rsidP="00B446F1">
      <w:pPr>
        <w:rPr>
          <w:rFonts w:cs="Arial"/>
          <w:szCs w:val="24"/>
          <w:lang w:bidi="en-US"/>
        </w:rPr>
      </w:pPr>
    </w:p>
    <w:p w14:paraId="32E274B5" w14:textId="77777777" w:rsidR="00707FF0" w:rsidRPr="002A111A" w:rsidRDefault="00707FF0" w:rsidP="00B446F1">
      <w:pPr>
        <w:rPr>
          <w:rFonts w:cs="Arial"/>
          <w:szCs w:val="24"/>
          <w:lang w:bidi="en-US"/>
        </w:rPr>
      </w:pPr>
    </w:p>
    <w:p w14:paraId="34A40AB6" w14:textId="77777777" w:rsidR="00707FF0" w:rsidRPr="002A111A" w:rsidRDefault="00707FF0" w:rsidP="00B446F1">
      <w:pPr>
        <w:rPr>
          <w:rFonts w:cs="Arial"/>
          <w:szCs w:val="24"/>
          <w:lang w:bidi="en-US"/>
        </w:rPr>
      </w:pPr>
    </w:p>
    <w:p w14:paraId="143BC27C" w14:textId="77777777" w:rsidR="00707FF0" w:rsidRPr="002A111A" w:rsidRDefault="00707FF0" w:rsidP="00B446F1">
      <w:pPr>
        <w:rPr>
          <w:rFonts w:cs="Arial"/>
          <w:szCs w:val="24"/>
          <w:lang w:bidi="en-US"/>
        </w:rPr>
      </w:pPr>
    </w:p>
    <w:p w14:paraId="53A0C4C5" w14:textId="77777777" w:rsidR="00707FF0" w:rsidRPr="002A111A" w:rsidRDefault="00707FF0" w:rsidP="00B446F1">
      <w:pPr>
        <w:rPr>
          <w:rFonts w:cs="Arial"/>
          <w:szCs w:val="24"/>
          <w:lang w:bidi="en-US"/>
        </w:rPr>
      </w:pPr>
    </w:p>
    <w:p w14:paraId="59A99C78" w14:textId="77777777" w:rsidR="00707FF0" w:rsidRPr="002A111A" w:rsidRDefault="00707FF0" w:rsidP="00B446F1">
      <w:pPr>
        <w:rPr>
          <w:rFonts w:cs="Arial"/>
          <w:szCs w:val="24"/>
          <w:lang w:bidi="en-US"/>
        </w:rPr>
      </w:pPr>
    </w:p>
    <w:p w14:paraId="5AE49ECE" w14:textId="77777777" w:rsidR="00A75929" w:rsidRPr="002A111A" w:rsidRDefault="00A75929" w:rsidP="00B446F1">
      <w:pPr>
        <w:rPr>
          <w:rFonts w:cs="Arial"/>
          <w:szCs w:val="24"/>
          <w:lang w:bidi="en-US"/>
        </w:rPr>
      </w:pPr>
      <w:r w:rsidRPr="002A111A">
        <w:rPr>
          <w:rFonts w:cs="Arial"/>
          <w:szCs w:val="24"/>
          <w:lang w:bidi="en-US"/>
        </w:rPr>
        <w:t xml:space="preserve">Country: </w:t>
      </w:r>
      <w:r w:rsidR="003E1CB3" w:rsidRPr="002A111A">
        <w:rPr>
          <w:rFonts w:cs="Arial"/>
          <w:szCs w:val="24"/>
          <w:lang w:bidi="en-US"/>
        </w:rPr>
        <w:t>Spain</w:t>
      </w:r>
    </w:p>
    <w:p w14:paraId="0FAD1E4E" w14:textId="77777777" w:rsidR="00A75929" w:rsidRPr="002A111A" w:rsidRDefault="00A75929" w:rsidP="00B446F1">
      <w:pPr>
        <w:rPr>
          <w:rFonts w:cs="Arial"/>
          <w:szCs w:val="24"/>
          <w:lang w:bidi="en-US"/>
        </w:rPr>
      </w:pPr>
    </w:p>
    <w:p w14:paraId="7F70452A" w14:textId="77777777" w:rsidR="00A75929" w:rsidRPr="002A111A" w:rsidRDefault="00A75929" w:rsidP="00B446F1">
      <w:pPr>
        <w:rPr>
          <w:rFonts w:cs="Arial"/>
          <w:szCs w:val="24"/>
          <w:lang w:bidi="en-US"/>
        </w:rPr>
      </w:pPr>
      <w:r w:rsidRPr="002A111A">
        <w:rPr>
          <w:rFonts w:cs="Arial"/>
          <w:szCs w:val="24"/>
          <w:lang w:bidi="en-US"/>
        </w:rPr>
        <w:t xml:space="preserve">Expert(s): </w:t>
      </w:r>
      <w:r w:rsidR="003E1CB3" w:rsidRPr="002A111A">
        <w:rPr>
          <w:rFonts w:cs="Arial"/>
          <w:szCs w:val="24"/>
          <w:lang w:bidi="en-US"/>
        </w:rPr>
        <w:t>Miguel Angel Verdugo and Cristina Jenaro</w:t>
      </w:r>
    </w:p>
    <w:p w14:paraId="7F218A3B" w14:textId="0C408C62" w:rsidR="008E4ACD" w:rsidRPr="002A111A" w:rsidRDefault="00D9246D" w:rsidP="00B446F1">
      <w:pPr>
        <w:rPr>
          <w:rFonts w:cs="Arial"/>
          <w:szCs w:val="24"/>
        </w:rPr>
      </w:pPr>
      <w:r w:rsidRPr="002A111A">
        <w:rPr>
          <w:rFonts w:cs="Arial"/>
          <w:szCs w:val="24"/>
        </w:rPr>
        <w:br w:type="page"/>
      </w:r>
      <w:bookmarkStart w:id="0" w:name="_Toc440626664"/>
    </w:p>
    <w:p w14:paraId="44C108C5" w14:textId="77777777" w:rsidR="00A75929" w:rsidRPr="002A111A" w:rsidRDefault="00A75929" w:rsidP="00B446F1">
      <w:pPr>
        <w:rPr>
          <w:rFonts w:cs="Arial"/>
          <w:b/>
          <w:szCs w:val="24"/>
        </w:rPr>
      </w:pPr>
      <w:bookmarkStart w:id="1" w:name="OLE_LINK3"/>
      <w:bookmarkStart w:id="2" w:name="OLE_LINK4"/>
      <w:r w:rsidRPr="002A111A">
        <w:rPr>
          <w:rFonts w:cs="Arial"/>
          <w:b/>
          <w:szCs w:val="24"/>
        </w:rPr>
        <w:lastRenderedPageBreak/>
        <w:t>Contents</w:t>
      </w:r>
    </w:p>
    <w:p w14:paraId="3C7A59D7" w14:textId="77777777" w:rsidR="00A75929" w:rsidRPr="002A111A" w:rsidRDefault="00A75929" w:rsidP="00B446F1">
      <w:pPr>
        <w:rPr>
          <w:rFonts w:cs="Arial"/>
          <w:szCs w:val="24"/>
        </w:rPr>
      </w:pPr>
    </w:p>
    <w:p w14:paraId="3FD3B74E" w14:textId="2AC95E58" w:rsidR="00C0504C" w:rsidRDefault="00D1387C">
      <w:pPr>
        <w:pStyle w:val="TOC1"/>
        <w:rPr>
          <w:rFonts w:asciiTheme="minorHAnsi" w:eastAsiaTheme="minorEastAsia" w:hAnsiTheme="minorHAnsi"/>
          <w:noProof/>
          <w:sz w:val="22"/>
          <w:szCs w:val="22"/>
          <w:lang w:val="nl-NL" w:eastAsia="nl-NL"/>
        </w:rPr>
      </w:pPr>
      <w:r w:rsidRPr="002A111A">
        <w:rPr>
          <w:rFonts w:cs="Arial"/>
          <w:szCs w:val="24"/>
        </w:rPr>
        <w:fldChar w:fldCharType="begin"/>
      </w:r>
      <w:r w:rsidR="00A75929" w:rsidRPr="002A111A">
        <w:rPr>
          <w:rFonts w:cs="Arial"/>
          <w:szCs w:val="24"/>
        </w:rPr>
        <w:instrText xml:space="preserve"> TOC \o "1-2" \h \z \u </w:instrText>
      </w:r>
      <w:r w:rsidRPr="002A111A">
        <w:rPr>
          <w:rFonts w:cs="Arial"/>
          <w:szCs w:val="24"/>
        </w:rPr>
        <w:fldChar w:fldCharType="separate"/>
      </w:r>
      <w:hyperlink w:anchor="_Toc7609256" w:history="1">
        <w:r w:rsidR="00C0504C" w:rsidRPr="00B235AC">
          <w:rPr>
            <w:rStyle w:val="Hyperlink"/>
            <w:rFonts w:cs="Arial"/>
            <w:noProof/>
            <w:lang w:bidi="en-US"/>
          </w:rPr>
          <w:t>PART A – Factual information and statistical data</w:t>
        </w:r>
        <w:r w:rsidR="00C0504C">
          <w:rPr>
            <w:noProof/>
            <w:webHidden/>
          </w:rPr>
          <w:tab/>
        </w:r>
        <w:r w:rsidR="00C0504C">
          <w:rPr>
            <w:noProof/>
            <w:webHidden/>
          </w:rPr>
          <w:fldChar w:fldCharType="begin"/>
        </w:r>
        <w:r w:rsidR="00C0504C">
          <w:rPr>
            <w:noProof/>
            <w:webHidden/>
          </w:rPr>
          <w:instrText xml:space="preserve"> PAGEREF _Toc7609256 \h </w:instrText>
        </w:r>
        <w:r w:rsidR="00C0504C">
          <w:rPr>
            <w:noProof/>
            <w:webHidden/>
          </w:rPr>
        </w:r>
        <w:r w:rsidR="00C0504C">
          <w:rPr>
            <w:noProof/>
            <w:webHidden/>
          </w:rPr>
          <w:fldChar w:fldCharType="separate"/>
        </w:r>
        <w:r w:rsidR="00C0504C">
          <w:rPr>
            <w:noProof/>
            <w:webHidden/>
          </w:rPr>
          <w:t>2</w:t>
        </w:r>
        <w:r w:rsidR="00C0504C">
          <w:rPr>
            <w:noProof/>
            <w:webHidden/>
          </w:rPr>
          <w:fldChar w:fldCharType="end"/>
        </w:r>
      </w:hyperlink>
    </w:p>
    <w:p w14:paraId="382C0C98" w14:textId="362995FD" w:rsidR="00C0504C" w:rsidRDefault="00C0504C">
      <w:pPr>
        <w:pStyle w:val="TOC1"/>
        <w:rPr>
          <w:rFonts w:asciiTheme="minorHAnsi" w:eastAsiaTheme="minorEastAsia" w:hAnsiTheme="minorHAnsi"/>
          <w:noProof/>
          <w:sz w:val="22"/>
          <w:szCs w:val="22"/>
          <w:lang w:val="nl-NL" w:eastAsia="nl-NL"/>
        </w:rPr>
      </w:pPr>
      <w:hyperlink w:anchor="_Toc7609257" w:history="1">
        <w:r w:rsidRPr="00B235AC">
          <w:rPr>
            <w:rStyle w:val="Hyperlink"/>
            <w:rFonts w:cs="Arial"/>
            <w:noProof/>
            <w:lang w:bidi="en-US"/>
          </w:rPr>
          <w:t>1</w:t>
        </w:r>
        <w:r>
          <w:rPr>
            <w:rFonts w:asciiTheme="minorHAnsi" w:eastAsiaTheme="minorEastAsia" w:hAnsiTheme="minorHAnsi"/>
            <w:noProof/>
            <w:sz w:val="22"/>
            <w:szCs w:val="22"/>
            <w:lang w:val="nl-NL" w:eastAsia="nl-NL"/>
          </w:rPr>
          <w:tab/>
        </w:r>
        <w:r w:rsidRPr="00B235AC">
          <w:rPr>
            <w:rStyle w:val="Hyperlink"/>
            <w:rFonts w:cs="Arial"/>
            <w:noProof/>
            <w:lang w:bidi="en-US"/>
          </w:rPr>
          <w:t>Current situation and direction of travel</w:t>
        </w:r>
        <w:r>
          <w:rPr>
            <w:noProof/>
            <w:webHidden/>
          </w:rPr>
          <w:tab/>
        </w:r>
        <w:r>
          <w:rPr>
            <w:noProof/>
            <w:webHidden/>
          </w:rPr>
          <w:fldChar w:fldCharType="begin"/>
        </w:r>
        <w:r>
          <w:rPr>
            <w:noProof/>
            <w:webHidden/>
          </w:rPr>
          <w:instrText xml:space="preserve"> PAGEREF _Toc7609257 \h </w:instrText>
        </w:r>
        <w:r>
          <w:rPr>
            <w:noProof/>
            <w:webHidden/>
          </w:rPr>
        </w:r>
        <w:r>
          <w:rPr>
            <w:noProof/>
            <w:webHidden/>
          </w:rPr>
          <w:fldChar w:fldCharType="separate"/>
        </w:r>
        <w:r>
          <w:rPr>
            <w:noProof/>
            <w:webHidden/>
          </w:rPr>
          <w:t>2</w:t>
        </w:r>
        <w:r>
          <w:rPr>
            <w:noProof/>
            <w:webHidden/>
          </w:rPr>
          <w:fldChar w:fldCharType="end"/>
        </w:r>
      </w:hyperlink>
    </w:p>
    <w:p w14:paraId="0CEBF438" w14:textId="327E0A13" w:rsidR="00C0504C" w:rsidRDefault="00C0504C">
      <w:pPr>
        <w:pStyle w:val="TOC2"/>
        <w:tabs>
          <w:tab w:val="left" w:pos="1134"/>
        </w:tabs>
        <w:rPr>
          <w:rFonts w:asciiTheme="minorHAnsi" w:eastAsiaTheme="minorEastAsia" w:hAnsiTheme="minorHAnsi"/>
          <w:noProof/>
          <w:sz w:val="22"/>
          <w:szCs w:val="22"/>
          <w:lang w:val="nl-NL" w:eastAsia="nl-NL"/>
        </w:rPr>
      </w:pPr>
      <w:hyperlink w:anchor="_Toc7609258" w:history="1">
        <w:r w:rsidRPr="00B235AC">
          <w:rPr>
            <w:rStyle w:val="Hyperlink"/>
            <w:rFonts w:cs="Arial"/>
            <w:noProof/>
            <w:lang w:bidi="en-US"/>
          </w:rPr>
          <w:t>1.1</w:t>
        </w:r>
        <w:r>
          <w:rPr>
            <w:rFonts w:asciiTheme="minorHAnsi" w:eastAsiaTheme="minorEastAsia" w:hAnsiTheme="minorHAnsi"/>
            <w:noProof/>
            <w:sz w:val="22"/>
            <w:szCs w:val="22"/>
            <w:lang w:val="nl-NL" w:eastAsia="nl-NL"/>
          </w:rPr>
          <w:tab/>
        </w:r>
        <w:r w:rsidRPr="00B235AC">
          <w:rPr>
            <w:rStyle w:val="Hyperlink"/>
            <w:rFonts w:cs="Arial"/>
            <w:noProof/>
            <w:lang w:bidi="en-US"/>
          </w:rPr>
          <w:t>Numbers and proportions of disabled children and adults residing in institutional care or community-based settings</w:t>
        </w:r>
        <w:r>
          <w:rPr>
            <w:noProof/>
            <w:webHidden/>
          </w:rPr>
          <w:tab/>
        </w:r>
        <w:r>
          <w:rPr>
            <w:noProof/>
            <w:webHidden/>
          </w:rPr>
          <w:fldChar w:fldCharType="begin"/>
        </w:r>
        <w:r>
          <w:rPr>
            <w:noProof/>
            <w:webHidden/>
          </w:rPr>
          <w:instrText xml:space="preserve"> PAGEREF _Toc7609258 \h </w:instrText>
        </w:r>
        <w:r>
          <w:rPr>
            <w:noProof/>
            <w:webHidden/>
          </w:rPr>
        </w:r>
        <w:r>
          <w:rPr>
            <w:noProof/>
            <w:webHidden/>
          </w:rPr>
          <w:fldChar w:fldCharType="separate"/>
        </w:r>
        <w:r>
          <w:rPr>
            <w:noProof/>
            <w:webHidden/>
          </w:rPr>
          <w:t>2</w:t>
        </w:r>
        <w:r>
          <w:rPr>
            <w:noProof/>
            <w:webHidden/>
          </w:rPr>
          <w:fldChar w:fldCharType="end"/>
        </w:r>
      </w:hyperlink>
    </w:p>
    <w:p w14:paraId="5304C961" w14:textId="520FA74E" w:rsidR="00C0504C" w:rsidRDefault="00C0504C">
      <w:pPr>
        <w:pStyle w:val="TOC2"/>
        <w:tabs>
          <w:tab w:val="left" w:pos="1134"/>
        </w:tabs>
        <w:rPr>
          <w:rFonts w:asciiTheme="minorHAnsi" w:eastAsiaTheme="minorEastAsia" w:hAnsiTheme="minorHAnsi"/>
          <w:noProof/>
          <w:sz w:val="22"/>
          <w:szCs w:val="22"/>
          <w:lang w:val="nl-NL" w:eastAsia="nl-NL"/>
        </w:rPr>
      </w:pPr>
      <w:hyperlink w:anchor="_Toc7609259" w:history="1">
        <w:r w:rsidRPr="00B235AC">
          <w:rPr>
            <w:rStyle w:val="Hyperlink"/>
            <w:rFonts w:cs="Arial"/>
            <w:noProof/>
            <w:lang w:bidi="en-US"/>
          </w:rPr>
          <w:t>1.2</w:t>
        </w:r>
        <w:r>
          <w:rPr>
            <w:rFonts w:asciiTheme="minorHAnsi" w:eastAsiaTheme="minorEastAsia" w:hAnsiTheme="minorHAnsi"/>
            <w:noProof/>
            <w:sz w:val="22"/>
            <w:szCs w:val="22"/>
            <w:lang w:val="nl-NL" w:eastAsia="nl-NL"/>
          </w:rPr>
          <w:tab/>
        </w:r>
        <w:r w:rsidRPr="00B235AC">
          <w:rPr>
            <w:rStyle w:val="Hyperlink"/>
            <w:rFonts w:cs="Arial"/>
            <w:noProof/>
            <w:lang w:bidi="en-US"/>
          </w:rPr>
          <w:t>Overall spending on institutional care versus services for support for living independently and being included in the community, including information about proportion/amount of funding provided from EU funds</w:t>
        </w:r>
        <w:r>
          <w:rPr>
            <w:noProof/>
            <w:webHidden/>
          </w:rPr>
          <w:tab/>
        </w:r>
        <w:r>
          <w:rPr>
            <w:noProof/>
            <w:webHidden/>
          </w:rPr>
          <w:fldChar w:fldCharType="begin"/>
        </w:r>
        <w:r>
          <w:rPr>
            <w:noProof/>
            <w:webHidden/>
          </w:rPr>
          <w:instrText xml:space="preserve"> PAGEREF _Toc7609259 \h </w:instrText>
        </w:r>
        <w:r>
          <w:rPr>
            <w:noProof/>
            <w:webHidden/>
          </w:rPr>
        </w:r>
        <w:r>
          <w:rPr>
            <w:noProof/>
            <w:webHidden/>
          </w:rPr>
          <w:fldChar w:fldCharType="separate"/>
        </w:r>
        <w:r>
          <w:rPr>
            <w:noProof/>
            <w:webHidden/>
          </w:rPr>
          <w:t>6</w:t>
        </w:r>
        <w:r>
          <w:rPr>
            <w:noProof/>
            <w:webHidden/>
          </w:rPr>
          <w:fldChar w:fldCharType="end"/>
        </w:r>
      </w:hyperlink>
    </w:p>
    <w:p w14:paraId="79AE818D" w14:textId="6FADAA4F" w:rsidR="00C0504C" w:rsidRDefault="00C0504C">
      <w:pPr>
        <w:pStyle w:val="TOC1"/>
        <w:rPr>
          <w:rFonts w:asciiTheme="minorHAnsi" w:eastAsiaTheme="minorEastAsia" w:hAnsiTheme="minorHAnsi"/>
          <w:noProof/>
          <w:sz w:val="22"/>
          <w:szCs w:val="22"/>
          <w:lang w:val="nl-NL" w:eastAsia="nl-NL"/>
        </w:rPr>
      </w:pPr>
      <w:hyperlink w:anchor="_Toc7609260" w:history="1">
        <w:r w:rsidRPr="00B235AC">
          <w:rPr>
            <w:rStyle w:val="Hyperlink"/>
            <w:rFonts w:cs="Arial"/>
            <w:noProof/>
            <w:lang w:bidi="en-US"/>
          </w:rPr>
          <w:t>2</w:t>
        </w:r>
        <w:r>
          <w:rPr>
            <w:rFonts w:asciiTheme="minorHAnsi" w:eastAsiaTheme="minorEastAsia" w:hAnsiTheme="minorHAnsi"/>
            <w:noProof/>
            <w:sz w:val="22"/>
            <w:szCs w:val="22"/>
            <w:lang w:val="nl-NL" w:eastAsia="nl-NL"/>
          </w:rPr>
          <w:tab/>
        </w:r>
        <w:r w:rsidRPr="00B235AC">
          <w:rPr>
            <w:rStyle w:val="Hyperlink"/>
            <w:rFonts w:cs="Arial"/>
            <w:noProof/>
            <w:lang w:bidi="en-US"/>
          </w:rPr>
          <w:t>Government commitments on living independently and being included in the community including the transition from institutional care to community-based living</w:t>
        </w:r>
        <w:r>
          <w:rPr>
            <w:noProof/>
            <w:webHidden/>
          </w:rPr>
          <w:tab/>
        </w:r>
        <w:r>
          <w:rPr>
            <w:noProof/>
            <w:webHidden/>
          </w:rPr>
          <w:fldChar w:fldCharType="begin"/>
        </w:r>
        <w:r>
          <w:rPr>
            <w:noProof/>
            <w:webHidden/>
          </w:rPr>
          <w:instrText xml:space="preserve"> PAGEREF _Toc7609260 \h </w:instrText>
        </w:r>
        <w:r>
          <w:rPr>
            <w:noProof/>
            <w:webHidden/>
          </w:rPr>
        </w:r>
        <w:r>
          <w:rPr>
            <w:noProof/>
            <w:webHidden/>
          </w:rPr>
          <w:fldChar w:fldCharType="separate"/>
        </w:r>
        <w:r>
          <w:rPr>
            <w:noProof/>
            <w:webHidden/>
          </w:rPr>
          <w:t>7</w:t>
        </w:r>
        <w:r>
          <w:rPr>
            <w:noProof/>
            <w:webHidden/>
          </w:rPr>
          <w:fldChar w:fldCharType="end"/>
        </w:r>
      </w:hyperlink>
    </w:p>
    <w:p w14:paraId="36ACECF8" w14:textId="2D03E651" w:rsidR="00C0504C" w:rsidRDefault="00C0504C">
      <w:pPr>
        <w:pStyle w:val="TOC2"/>
        <w:tabs>
          <w:tab w:val="left" w:pos="1134"/>
        </w:tabs>
        <w:rPr>
          <w:rFonts w:asciiTheme="minorHAnsi" w:eastAsiaTheme="minorEastAsia" w:hAnsiTheme="minorHAnsi"/>
          <w:noProof/>
          <w:sz w:val="22"/>
          <w:szCs w:val="22"/>
          <w:lang w:val="nl-NL" w:eastAsia="nl-NL"/>
        </w:rPr>
      </w:pPr>
      <w:hyperlink w:anchor="_Toc7609261" w:history="1">
        <w:r w:rsidRPr="00B235AC">
          <w:rPr>
            <w:rStyle w:val="Hyperlink"/>
            <w:rFonts w:cs="Arial"/>
            <w:noProof/>
            <w:lang w:bidi="en-US"/>
          </w:rPr>
          <w:t>2.1</w:t>
        </w:r>
        <w:r>
          <w:rPr>
            <w:rFonts w:asciiTheme="minorHAnsi" w:eastAsiaTheme="minorEastAsia" w:hAnsiTheme="minorHAnsi"/>
            <w:noProof/>
            <w:sz w:val="22"/>
            <w:szCs w:val="22"/>
            <w:lang w:val="nl-NL" w:eastAsia="nl-NL"/>
          </w:rPr>
          <w:tab/>
        </w:r>
        <w:r w:rsidRPr="00B235AC">
          <w:rPr>
            <w:rStyle w:val="Hyperlink"/>
            <w:rFonts w:cs="Arial"/>
            <w:noProof/>
            <w:lang w:bidi="en-US"/>
          </w:rPr>
          <w:t>In which document(s) are government commitments and plans concerning support for independent living in the community set out?</w:t>
        </w:r>
        <w:r>
          <w:rPr>
            <w:noProof/>
            <w:webHidden/>
          </w:rPr>
          <w:tab/>
        </w:r>
        <w:r>
          <w:rPr>
            <w:noProof/>
            <w:webHidden/>
          </w:rPr>
          <w:fldChar w:fldCharType="begin"/>
        </w:r>
        <w:r>
          <w:rPr>
            <w:noProof/>
            <w:webHidden/>
          </w:rPr>
          <w:instrText xml:space="preserve"> PAGEREF _Toc7609261 \h </w:instrText>
        </w:r>
        <w:r>
          <w:rPr>
            <w:noProof/>
            <w:webHidden/>
          </w:rPr>
        </w:r>
        <w:r>
          <w:rPr>
            <w:noProof/>
            <w:webHidden/>
          </w:rPr>
          <w:fldChar w:fldCharType="separate"/>
        </w:r>
        <w:r>
          <w:rPr>
            <w:noProof/>
            <w:webHidden/>
          </w:rPr>
          <w:t>7</w:t>
        </w:r>
        <w:r>
          <w:rPr>
            <w:noProof/>
            <w:webHidden/>
          </w:rPr>
          <w:fldChar w:fldCharType="end"/>
        </w:r>
      </w:hyperlink>
    </w:p>
    <w:p w14:paraId="230BAB8E" w14:textId="09CD613C" w:rsidR="00C0504C" w:rsidRDefault="00C0504C">
      <w:pPr>
        <w:pStyle w:val="TOC2"/>
        <w:tabs>
          <w:tab w:val="left" w:pos="1134"/>
        </w:tabs>
        <w:rPr>
          <w:rFonts w:asciiTheme="minorHAnsi" w:eastAsiaTheme="minorEastAsia" w:hAnsiTheme="minorHAnsi"/>
          <w:noProof/>
          <w:sz w:val="22"/>
          <w:szCs w:val="22"/>
          <w:lang w:val="nl-NL" w:eastAsia="nl-NL"/>
        </w:rPr>
      </w:pPr>
      <w:hyperlink w:anchor="_Toc7609262" w:history="1">
        <w:r w:rsidRPr="00B235AC">
          <w:rPr>
            <w:rStyle w:val="Hyperlink"/>
            <w:rFonts w:cs="Arial"/>
            <w:noProof/>
            <w:lang w:bidi="en-US"/>
          </w:rPr>
          <w:t>2.2</w:t>
        </w:r>
        <w:r>
          <w:rPr>
            <w:rFonts w:asciiTheme="minorHAnsi" w:eastAsiaTheme="minorEastAsia" w:hAnsiTheme="minorHAnsi"/>
            <w:noProof/>
            <w:sz w:val="22"/>
            <w:szCs w:val="22"/>
            <w:lang w:val="nl-NL" w:eastAsia="nl-NL"/>
          </w:rPr>
          <w:tab/>
        </w:r>
        <w:r w:rsidRPr="00B235AC">
          <w:rPr>
            <w:rStyle w:val="Hyperlink"/>
            <w:rFonts w:cs="Arial"/>
            <w:noProof/>
            <w:lang w:bidi="en-US"/>
          </w:rPr>
          <w:t>What are the aims and objectives of relevant strategies, including relevant targets and milestones? Are they linked to ESIF?</w:t>
        </w:r>
        <w:r>
          <w:rPr>
            <w:noProof/>
            <w:webHidden/>
          </w:rPr>
          <w:tab/>
        </w:r>
        <w:r>
          <w:rPr>
            <w:noProof/>
            <w:webHidden/>
          </w:rPr>
          <w:fldChar w:fldCharType="begin"/>
        </w:r>
        <w:r>
          <w:rPr>
            <w:noProof/>
            <w:webHidden/>
          </w:rPr>
          <w:instrText xml:space="preserve"> PAGEREF _Toc7609262 \h </w:instrText>
        </w:r>
        <w:r>
          <w:rPr>
            <w:noProof/>
            <w:webHidden/>
          </w:rPr>
        </w:r>
        <w:r>
          <w:rPr>
            <w:noProof/>
            <w:webHidden/>
          </w:rPr>
          <w:fldChar w:fldCharType="separate"/>
        </w:r>
        <w:r>
          <w:rPr>
            <w:noProof/>
            <w:webHidden/>
          </w:rPr>
          <w:t>8</w:t>
        </w:r>
        <w:r>
          <w:rPr>
            <w:noProof/>
            <w:webHidden/>
          </w:rPr>
          <w:fldChar w:fldCharType="end"/>
        </w:r>
      </w:hyperlink>
    </w:p>
    <w:p w14:paraId="11C128AD" w14:textId="037E2BE6" w:rsidR="00C0504C" w:rsidRDefault="00C0504C">
      <w:pPr>
        <w:pStyle w:val="TOC2"/>
        <w:tabs>
          <w:tab w:val="left" w:pos="1134"/>
        </w:tabs>
        <w:rPr>
          <w:rFonts w:asciiTheme="minorHAnsi" w:eastAsiaTheme="minorEastAsia" w:hAnsiTheme="minorHAnsi"/>
          <w:noProof/>
          <w:sz w:val="22"/>
          <w:szCs w:val="22"/>
          <w:lang w:val="nl-NL" w:eastAsia="nl-NL"/>
        </w:rPr>
      </w:pPr>
      <w:hyperlink w:anchor="_Toc7609263" w:history="1">
        <w:r w:rsidRPr="00B235AC">
          <w:rPr>
            <w:rStyle w:val="Hyperlink"/>
            <w:rFonts w:cs="Arial"/>
            <w:noProof/>
            <w:lang w:bidi="en-US"/>
          </w:rPr>
          <w:t>2.3</w:t>
        </w:r>
        <w:r>
          <w:rPr>
            <w:rFonts w:asciiTheme="minorHAnsi" w:eastAsiaTheme="minorEastAsia" w:hAnsiTheme="minorHAnsi"/>
            <w:noProof/>
            <w:sz w:val="22"/>
            <w:szCs w:val="22"/>
            <w:lang w:val="nl-NL" w:eastAsia="nl-NL"/>
          </w:rPr>
          <w:tab/>
        </w:r>
        <w:r w:rsidRPr="00B235AC">
          <w:rPr>
            <w:rStyle w:val="Hyperlink"/>
            <w:rFonts w:cs="Arial"/>
            <w:noProof/>
            <w:lang w:bidi="en-US"/>
          </w:rPr>
          <w:t>Please summarise the planned approach and the actions to be taken in relevant strategies</w:t>
        </w:r>
        <w:r>
          <w:rPr>
            <w:noProof/>
            <w:webHidden/>
          </w:rPr>
          <w:tab/>
        </w:r>
        <w:r>
          <w:rPr>
            <w:noProof/>
            <w:webHidden/>
          </w:rPr>
          <w:fldChar w:fldCharType="begin"/>
        </w:r>
        <w:r>
          <w:rPr>
            <w:noProof/>
            <w:webHidden/>
          </w:rPr>
          <w:instrText xml:space="preserve"> PAGEREF _Toc7609263 \h </w:instrText>
        </w:r>
        <w:r>
          <w:rPr>
            <w:noProof/>
            <w:webHidden/>
          </w:rPr>
        </w:r>
        <w:r>
          <w:rPr>
            <w:noProof/>
            <w:webHidden/>
          </w:rPr>
          <w:fldChar w:fldCharType="separate"/>
        </w:r>
        <w:r>
          <w:rPr>
            <w:noProof/>
            <w:webHidden/>
          </w:rPr>
          <w:t>9</w:t>
        </w:r>
        <w:r>
          <w:rPr>
            <w:noProof/>
            <w:webHidden/>
          </w:rPr>
          <w:fldChar w:fldCharType="end"/>
        </w:r>
      </w:hyperlink>
    </w:p>
    <w:p w14:paraId="3A423044" w14:textId="093FC1CF" w:rsidR="00C0504C" w:rsidRDefault="00C0504C">
      <w:pPr>
        <w:pStyle w:val="TOC2"/>
        <w:tabs>
          <w:tab w:val="left" w:pos="1134"/>
        </w:tabs>
        <w:rPr>
          <w:rFonts w:asciiTheme="minorHAnsi" w:eastAsiaTheme="minorEastAsia" w:hAnsiTheme="minorHAnsi"/>
          <w:noProof/>
          <w:sz w:val="22"/>
          <w:szCs w:val="22"/>
          <w:lang w:val="nl-NL" w:eastAsia="nl-NL"/>
        </w:rPr>
      </w:pPr>
      <w:hyperlink w:anchor="_Toc7609264" w:history="1">
        <w:r w:rsidRPr="00B235AC">
          <w:rPr>
            <w:rStyle w:val="Hyperlink"/>
            <w:rFonts w:cs="Arial"/>
            <w:noProof/>
            <w:lang w:bidi="en-US"/>
          </w:rPr>
          <w:t>2.4</w:t>
        </w:r>
        <w:r>
          <w:rPr>
            <w:rFonts w:asciiTheme="minorHAnsi" w:eastAsiaTheme="minorEastAsia" w:hAnsiTheme="minorHAnsi"/>
            <w:noProof/>
            <w:sz w:val="22"/>
            <w:szCs w:val="22"/>
            <w:lang w:val="nl-NL" w:eastAsia="nl-NL"/>
          </w:rPr>
          <w:tab/>
        </w:r>
        <w:r w:rsidRPr="00B235AC">
          <w:rPr>
            <w:rStyle w:val="Hyperlink"/>
            <w:rFonts w:cs="Arial"/>
            <w:noProof/>
            <w:lang w:bidi="en-US"/>
          </w:rPr>
          <w:t>What budgetary commitments are made to support these strategies, both for domestic and EU funds?</w:t>
        </w:r>
        <w:r>
          <w:rPr>
            <w:noProof/>
            <w:webHidden/>
          </w:rPr>
          <w:tab/>
        </w:r>
        <w:r>
          <w:rPr>
            <w:noProof/>
            <w:webHidden/>
          </w:rPr>
          <w:fldChar w:fldCharType="begin"/>
        </w:r>
        <w:r>
          <w:rPr>
            <w:noProof/>
            <w:webHidden/>
          </w:rPr>
          <w:instrText xml:space="preserve"> PAGEREF _Toc7609264 \h </w:instrText>
        </w:r>
        <w:r>
          <w:rPr>
            <w:noProof/>
            <w:webHidden/>
          </w:rPr>
        </w:r>
        <w:r>
          <w:rPr>
            <w:noProof/>
            <w:webHidden/>
          </w:rPr>
          <w:fldChar w:fldCharType="separate"/>
        </w:r>
        <w:r>
          <w:rPr>
            <w:noProof/>
            <w:webHidden/>
          </w:rPr>
          <w:t>9</w:t>
        </w:r>
        <w:r>
          <w:rPr>
            <w:noProof/>
            <w:webHidden/>
          </w:rPr>
          <w:fldChar w:fldCharType="end"/>
        </w:r>
      </w:hyperlink>
    </w:p>
    <w:p w14:paraId="18427C1E" w14:textId="484E6923" w:rsidR="00C0504C" w:rsidRDefault="00C0504C">
      <w:pPr>
        <w:pStyle w:val="TOC2"/>
        <w:tabs>
          <w:tab w:val="left" w:pos="1134"/>
        </w:tabs>
        <w:rPr>
          <w:rFonts w:asciiTheme="minorHAnsi" w:eastAsiaTheme="minorEastAsia" w:hAnsiTheme="minorHAnsi"/>
          <w:noProof/>
          <w:sz w:val="22"/>
          <w:szCs w:val="22"/>
          <w:lang w:val="nl-NL" w:eastAsia="nl-NL"/>
        </w:rPr>
      </w:pPr>
      <w:hyperlink w:anchor="_Toc7609265" w:history="1">
        <w:r w:rsidRPr="00B235AC">
          <w:rPr>
            <w:rStyle w:val="Hyperlink"/>
            <w:rFonts w:cs="Arial"/>
            <w:noProof/>
            <w:lang w:bidi="en-US"/>
          </w:rPr>
          <w:t>2.5</w:t>
        </w:r>
        <w:r>
          <w:rPr>
            <w:rFonts w:asciiTheme="minorHAnsi" w:eastAsiaTheme="minorEastAsia" w:hAnsiTheme="minorHAnsi"/>
            <w:noProof/>
            <w:sz w:val="22"/>
            <w:szCs w:val="22"/>
            <w:lang w:val="nl-NL" w:eastAsia="nl-NL"/>
          </w:rPr>
          <w:tab/>
        </w:r>
        <w:r w:rsidRPr="00B235AC">
          <w:rPr>
            <w:rStyle w:val="Hyperlink"/>
            <w:rFonts w:cs="Arial"/>
            <w:noProof/>
            <w:lang w:bidi="en-US"/>
          </w:rPr>
          <w:t>What is the (official) involvement of persons with disabilities and/or their representative organisations in the development of the strategies and plans</w:t>
        </w:r>
        <w:r>
          <w:rPr>
            <w:noProof/>
            <w:webHidden/>
          </w:rPr>
          <w:tab/>
        </w:r>
        <w:r>
          <w:rPr>
            <w:noProof/>
            <w:webHidden/>
          </w:rPr>
          <w:fldChar w:fldCharType="begin"/>
        </w:r>
        <w:r>
          <w:rPr>
            <w:noProof/>
            <w:webHidden/>
          </w:rPr>
          <w:instrText xml:space="preserve"> PAGEREF _Toc7609265 \h </w:instrText>
        </w:r>
        <w:r>
          <w:rPr>
            <w:noProof/>
            <w:webHidden/>
          </w:rPr>
        </w:r>
        <w:r>
          <w:rPr>
            <w:noProof/>
            <w:webHidden/>
          </w:rPr>
          <w:fldChar w:fldCharType="separate"/>
        </w:r>
        <w:r>
          <w:rPr>
            <w:noProof/>
            <w:webHidden/>
          </w:rPr>
          <w:t>9</w:t>
        </w:r>
        <w:r>
          <w:rPr>
            <w:noProof/>
            <w:webHidden/>
          </w:rPr>
          <w:fldChar w:fldCharType="end"/>
        </w:r>
      </w:hyperlink>
    </w:p>
    <w:p w14:paraId="49A05574" w14:textId="733DC478" w:rsidR="00C0504C" w:rsidRDefault="00C0504C">
      <w:pPr>
        <w:pStyle w:val="TOC1"/>
        <w:rPr>
          <w:rFonts w:asciiTheme="minorHAnsi" w:eastAsiaTheme="minorEastAsia" w:hAnsiTheme="minorHAnsi"/>
          <w:noProof/>
          <w:sz w:val="22"/>
          <w:szCs w:val="22"/>
          <w:lang w:val="nl-NL" w:eastAsia="nl-NL"/>
        </w:rPr>
      </w:pPr>
      <w:hyperlink w:anchor="_Toc7609266" w:history="1">
        <w:r w:rsidRPr="00B235AC">
          <w:rPr>
            <w:rStyle w:val="Hyperlink"/>
            <w:noProof/>
            <w:lang w:bidi="en-US"/>
          </w:rPr>
          <w:t>3</w:t>
        </w:r>
        <w:r>
          <w:rPr>
            <w:rFonts w:asciiTheme="minorHAnsi" w:eastAsiaTheme="minorEastAsia" w:hAnsiTheme="minorHAnsi"/>
            <w:noProof/>
            <w:sz w:val="22"/>
            <w:szCs w:val="22"/>
            <w:lang w:val="nl-NL" w:eastAsia="nl-NL"/>
          </w:rPr>
          <w:tab/>
        </w:r>
        <w:r w:rsidRPr="00B235AC">
          <w:rPr>
            <w:rStyle w:val="Hyperlink"/>
            <w:noProof/>
            <w:lang w:bidi="en-US"/>
          </w:rPr>
          <w:t>Implementation and monitoring</w:t>
        </w:r>
        <w:r>
          <w:rPr>
            <w:noProof/>
            <w:webHidden/>
          </w:rPr>
          <w:tab/>
        </w:r>
        <w:r>
          <w:rPr>
            <w:noProof/>
            <w:webHidden/>
          </w:rPr>
          <w:fldChar w:fldCharType="begin"/>
        </w:r>
        <w:r>
          <w:rPr>
            <w:noProof/>
            <w:webHidden/>
          </w:rPr>
          <w:instrText xml:space="preserve"> PAGEREF _Toc7609266 \h </w:instrText>
        </w:r>
        <w:r>
          <w:rPr>
            <w:noProof/>
            <w:webHidden/>
          </w:rPr>
        </w:r>
        <w:r>
          <w:rPr>
            <w:noProof/>
            <w:webHidden/>
          </w:rPr>
          <w:fldChar w:fldCharType="separate"/>
        </w:r>
        <w:r>
          <w:rPr>
            <w:noProof/>
            <w:webHidden/>
          </w:rPr>
          <w:t>10</w:t>
        </w:r>
        <w:r>
          <w:rPr>
            <w:noProof/>
            <w:webHidden/>
          </w:rPr>
          <w:fldChar w:fldCharType="end"/>
        </w:r>
      </w:hyperlink>
    </w:p>
    <w:p w14:paraId="26FB12B7" w14:textId="09569ACD" w:rsidR="00C0504C" w:rsidRDefault="00C0504C">
      <w:pPr>
        <w:pStyle w:val="TOC2"/>
        <w:tabs>
          <w:tab w:val="left" w:pos="1134"/>
        </w:tabs>
        <w:rPr>
          <w:rFonts w:asciiTheme="minorHAnsi" w:eastAsiaTheme="minorEastAsia" w:hAnsiTheme="minorHAnsi"/>
          <w:noProof/>
          <w:sz w:val="22"/>
          <w:szCs w:val="22"/>
          <w:lang w:val="nl-NL" w:eastAsia="nl-NL"/>
        </w:rPr>
      </w:pPr>
      <w:hyperlink w:anchor="_Toc7609267" w:history="1">
        <w:r w:rsidRPr="00B235AC">
          <w:rPr>
            <w:rStyle w:val="Hyperlink"/>
            <w:rFonts w:cs="Arial"/>
            <w:noProof/>
            <w:lang w:bidi="en-US"/>
          </w:rPr>
          <w:t>3.1</w:t>
        </w:r>
        <w:r>
          <w:rPr>
            <w:rFonts w:asciiTheme="minorHAnsi" w:eastAsiaTheme="minorEastAsia" w:hAnsiTheme="minorHAnsi"/>
            <w:noProof/>
            <w:sz w:val="22"/>
            <w:szCs w:val="22"/>
            <w:lang w:val="nl-NL" w:eastAsia="nl-NL"/>
          </w:rPr>
          <w:tab/>
        </w:r>
        <w:r w:rsidRPr="00B235AC">
          <w:rPr>
            <w:rStyle w:val="Hyperlink"/>
            <w:rFonts w:cs="Arial"/>
            <w:noProof/>
            <w:lang w:bidi="en-US"/>
          </w:rPr>
          <w:t>Summary of relevant calls for proposals</w:t>
        </w:r>
        <w:r>
          <w:rPr>
            <w:noProof/>
            <w:webHidden/>
          </w:rPr>
          <w:tab/>
        </w:r>
        <w:r>
          <w:rPr>
            <w:noProof/>
            <w:webHidden/>
          </w:rPr>
          <w:fldChar w:fldCharType="begin"/>
        </w:r>
        <w:r>
          <w:rPr>
            <w:noProof/>
            <w:webHidden/>
          </w:rPr>
          <w:instrText xml:space="preserve"> PAGEREF _Toc7609267 \h </w:instrText>
        </w:r>
        <w:r>
          <w:rPr>
            <w:noProof/>
            <w:webHidden/>
          </w:rPr>
        </w:r>
        <w:r>
          <w:rPr>
            <w:noProof/>
            <w:webHidden/>
          </w:rPr>
          <w:fldChar w:fldCharType="separate"/>
        </w:r>
        <w:r>
          <w:rPr>
            <w:noProof/>
            <w:webHidden/>
          </w:rPr>
          <w:t>10</w:t>
        </w:r>
        <w:r>
          <w:rPr>
            <w:noProof/>
            <w:webHidden/>
          </w:rPr>
          <w:fldChar w:fldCharType="end"/>
        </w:r>
      </w:hyperlink>
    </w:p>
    <w:p w14:paraId="0909CC94" w14:textId="21D0AEA9" w:rsidR="00C0504C" w:rsidRDefault="00C0504C">
      <w:pPr>
        <w:pStyle w:val="TOC2"/>
        <w:tabs>
          <w:tab w:val="left" w:pos="1134"/>
        </w:tabs>
        <w:rPr>
          <w:rFonts w:asciiTheme="minorHAnsi" w:eastAsiaTheme="minorEastAsia" w:hAnsiTheme="minorHAnsi"/>
          <w:noProof/>
          <w:sz w:val="22"/>
          <w:szCs w:val="22"/>
          <w:lang w:val="nl-NL" w:eastAsia="nl-NL"/>
        </w:rPr>
      </w:pPr>
      <w:hyperlink w:anchor="_Toc7609268" w:history="1">
        <w:r w:rsidRPr="00B235AC">
          <w:rPr>
            <w:rStyle w:val="Hyperlink"/>
            <w:rFonts w:cs="Arial"/>
            <w:noProof/>
            <w:lang w:bidi="en-US"/>
          </w:rPr>
          <w:t>3.2</w:t>
        </w:r>
        <w:r>
          <w:rPr>
            <w:rFonts w:asciiTheme="minorHAnsi" w:eastAsiaTheme="minorEastAsia" w:hAnsiTheme="minorHAnsi"/>
            <w:noProof/>
            <w:sz w:val="22"/>
            <w:szCs w:val="22"/>
            <w:lang w:val="nl-NL" w:eastAsia="nl-NL"/>
          </w:rPr>
          <w:tab/>
        </w:r>
        <w:r w:rsidRPr="00B235AC">
          <w:rPr>
            <w:rStyle w:val="Hyperlink"/>
            <w:rFonts w:cs="Arial"/>
            <w:noProof/>
            <w:lang w:bidi="en-US"/>
          </w:rPr>
          <w:t>Summary of relevant projects funded</w:t>
        </w:r>
        <w:r>
          <w:rPr>
            <w:noProof/>
            <w:webHidden/>
          </w:rPr>
          <w:tab/>
        </w:r>
        <w:r>
          <w:rPr>
            <w:noProof/>
            <w:webHidden/>
          </w:rPr>
          <w:fldChar w:fldCharType="begin"/>
        </w:r>
        <w:r>
          <w:rPr>
            <w:noProof/>
            <w:webHidden/>
          </w:rPr>
          <w:instrText xml:space="preserve"> PAGEREF _Toc7609268 \h </w:instrText>
        </w:r>
        <w:r>
          <w:rPr>
            <w:noProof/>
            <w:webHidden/>
          </w:rPr>
        </w:r>
        <w:r>
          <w:rPr>
            <w:noProof/>
            <w:webHidden/>
          </w:rPr>
          <w:fldChar w:fldCharType="separate"/>
        </w:r>
        <w:r>
          <w:rPr>
            <w:noProof/>
            <w:webHidden/>
          </w:rPr>
          <w:t>10</w:t>
        </w:r>
        <w:r>
          <w:rPr>
            <w:noProof/>
            <w:webHidden/>
          </w:rPr>
          <w:fldChar w:fldCharType="end"/>
        </w:r>
      </w:hyperlink>
    </w:p>
    <w:p w14:paraId="57F9F1ED" w14:textId="3980E6A0" w:rsidR="00C0504C" w:rsidRDefault="00C0504C">
      <w:pPr>
        <w:pStyle w:val="TOC2"/>
        <w:tabs>
          <w:tab w:val="left" w:pos="1134"/>
        </w:tabs>
        <w:rPr>
          <w:rFonts w:asciiTheme="minorHAnsi" w:eastAsiaTheme="minorEastAsia" w:hAnsiTheme="minorHAnsi"/>
          <w:noProof/>
          <w:sz w:val="22"/>
          <w:szCs w:val="22"/>
          <w:lang w:val="nl-NL" w:eastAsia="nl-NL"/>
        </w:rPr>
      </w:pPr>
      <w:hyperlink w:anchor="_Toc7609269" w:history="1">
        <w:r w:rsidRPr="00B235AC">
          <w:rPr>
            <w:rStyle w:val="Hyperlink"/>
            <w:rFonts w:cs="Arial"/>
            <w:noProof/>
            <w:lang w:bidi="en-US"/>
          </w:rPr>
          <w:t>3.3</w:t>
        </w:r>
        <w:r>
          <w:rPr>
            <w:rFonts w:asciiTheme="minorHAnsi" w:eastAsiaTheme="minorEastAsia" w:hAnsiTheme="minorHAnsi"/>
            <w:noProof/>
            <w:sz w:val="22"/>
            <w:szCs w:val="22"/>
            <w:lang w:val="nl-NL" w:eastAsia="nl-NL"/>
          </w:rPr>
          <w:tab/>
        </w:r>
        <w:r w:rsidRPr="00B235AC">
          <w:rPr>
            <w:rStyle w:val="Hyperlink"/>
            <w:rFonts w:cs="Arial"/>
            <w:noProof/>
            <w:lang w:bidi="en-US"/>
          </w:rPr>
          <w:t>Overview of other relevant measures since 2013</w:t>
        </w:r>
        <w:r>
          <w:rPr>
            <w:noProof/>
            <w:webHidden/>
          </w:rPr>
          <w:tab/>
        </w:r>
        <w:r>
          <w:rPr>
            <w:noProof/>
            <w:webHidden/>
          </w:rPr>
          <w:fldChar w:fldCharType="begin"/>
        </w:r>
        <w:r>
          <w:rPr>
            <w:noProof/>
            <w:webHidden/>
          </w:rPr>
          <w:instrText xml:space="preserve"> PAGEREF _Toc7609269 \h </w:instrText>
        </w:r>
        <w:r>
          <w:rPr>
            <w:noProof/>
            <w:webHidden/>
          </w:rPr>
        </w:r>
        <w:r>
          <w:rPr>
            <w:noProof/>
            <w:webHidden/>
          </w:rPr>
          <w:fldChar w:fldCharType="separate"/>
        </w:r>
        <w:r>
          <w:rPr>
            <w:noProof/>
            <w:webHidden/>
          </w:rPr>
          <w:t>12</w:t>
        </w:r>
        <w:r>
          <w:rPr>
            <w:noProof/>
            <w:webHidden/>
          </w:rPr>
          <w:fldChar w:fldCharType="end"/>
        </w:r>
      </w:hyperlink>
    </w:p>
    <w:p w14:paraId="2AC2F8BA" w14:textId="6745CE01" w:rsidR="00C0504C" w:rsidRDefault="00C0504C">
      <w:pPr>
        <w:pStyle w:val="TOC2"/>
        <w:tabs>
          <w:tab w:val="left" w:pos="1134"/>
        </w:tabs>
        <w:rPr>
          <w:rFonts w:asciiTheme="minorHAnsi" w:eastAsiaTheme="minorEastAsia" w:hAnsiTheme="minorHAnsi"/>
          <w:noProof/>
          <w:sz w:val="22"/>
          <w:szCs w:val="22"/>
          <w:lang w:val="nl-NL" w:eastAsia="nl-NL"/>
        </w:rPr>
      </w:pPr>
      <w:hyperlink w:anchor="_Toc7609270" w:history="1">
        <w:r w:rsidRPr="00B235AC">
          <w:rPr>
            <w:rStyle w:val="Hyperlink"/>
            <w:rFonts w:cs="Arial"/>
            <w:noProof/>
            <w:lang w:bidi="en-US"/>
          </w:rPr>
          <w:t>3.4</w:t>
        </w:r>
        <w:r>
          <w:rPr>
            <w:rFonts w:asciiTheme="minorHAnsi" w:eastAsiaTheme="minorEastAsia" w:hAnsiTheme="minorHAnsi"/>
            <w:noProof/>
            <w:sz w:val="22"/>
            <w:szCs w:val="22"/>
            <w:lang w:val="nl-NL" w:eastAsia="nl-NL"/>
          </w:rPr>
          <w:tab/>
        </w:r>
        <w:r w:rsidRPr="00B235AC">
          <w:rPr>
            <w:rStyle w:val="Hyperlink"/>
            <w:rFonts w:cs="Arial"/>
            <w:noProof/>
            <w:lang w:bidi="en-US"/>
          </w:rPr>
          <w:t>Monitoring mechanisms and approaches</w:t>
        </w:r>
        <w:r>
          <w:rPr>
            <w:noProof/>
            <w:webHidden/>
          </w:rPr>
          <w:tab/>
        </w:r>
        <w:r>
          <w:rPr>
            <w:noProof/>
            <w:webHidden/>
          </w:rPr>
          <w:fldChar w:fldCharType="begin"/>
        </w:r>
        <w:r>
          <w:rPr>
            <w:noProof/>
            <w:webHidden/>
          </w:rPr>
          <w:instrText xml:space="preserve"> PAGEREF _Toc7609270 \h </w:instrText>
        </w:r>
        <w:r>
          <w:rPr>
            <w:noProof/>
            <w:webHidden/>
          </w:rPr>
        </w:r>
        <w:r>
          <w:rPr>
            <w:noProof/>
            <w:webHidden/>
          </w:rPr>
          <w:fldChar w:fldCharType="separate"/>
        </w:r>
        <w:r>
          <w:rPr>
            <w:noProof/>
            <w:webHidden/>
          </w:rPr>
          <w:t>12</w:t>
        </w:r>
        <w:r>
          <w:rPr>
            <w:noProof/>
            <w:webHidden/>
          </w:rPr>
          <w:fldChar w:fldCharType="end"/>
        </w:r>
      </w:hyperlink>
    </w:p>
    <w:p w14:paraId="14CCB311" w14:textId="20B9C268" w:rsidR="00C0504C" w:rsidRDefault="00C0504C">
      <w:pPr>
        <w:pStyle w:val="TOC1"/>
        <w:rPr>
          <w:rFonts w:asciiTheme="minorHAnsi" w:eastAsiaTheme="minorEastAsia" w:hAnsiTheme="minorHAnsi"/>
          <w:noProof/>
          <w:sz w:val="22"/>
          <w:szCs w:val="22"/>
          <w:lang w:val="nl-NL" w:eastAsia="nl-NL"/>
        </w:rPr>
      </w:pPr>
      <w:hyperlink w:anchor="_Toc7609271" w:history="1">
        <w:r w:rsidRPr="00B235AC">
          <w:rPr>
            <w:rStyle w:val="Hyperlink"/>
            <w:noProof/>
            <w:lang w:bidi="en-US"/>
          </w:rPr>
          <w:t>4</w:t>
        </w:r>
        <w:r>
          <w:rPr>
            <w:rFonts w:asciiTheme="minorHAnsi" w:eastAsiaTheme="minorEastAsia" w:hAnsiTheme="minorHAnsi"/>
            <w:noProof/>
            <w:sz w:val="22"/>
            <w:szCs w:val="22"/>
            <w:lang w:val="nl-NL" w:eastAsia="nl-NL"/>
          </w:rPr>
          <w:tab/>
        </w:r>
        <w:r w:rsidRPr="00B235AC">
          <w:rPr>
            <w:rStyle w:val="Hyperlink"/>
            <w:noProof/>
            <w:lang w:bidi="en-US"/>
          </w:rPr>
          <w:t>Impact and outcomes</w:t>
        </w:r>
        <w:r>
          <w:rPr>
            <w:noProof/>
            <w:webHidden/>
          </w:rPr>
          <w:tab/>
        </w:r>
        <w:r>
          <w:rPr>
            <w:noProof/>
            <w:webHidden/>
          </w:rPr>
          <w:fldChar w:fldCharType="begin"/>
        </w:r>
        <w:r>
          <w:rPr>
            <w:noProof/>
            <w:webHidden/>
          </w:rPr>
          <w:instrText xml:space="preserve"> PAGEREF _Toc7609271 \h </w:instrText>
        </w:r>
        <w:r>
          <w:rPr>
            <w:noProof/>
            <w:webHidden/>
          </w:rPr>
        </w:r>
        <w:r>
          <w:rPr>
            <w:noProof/>
            <w:webHidden/>
          </w:rPr>
          <w:fldChar w:fldCharType="separate"/>
        </w:r>
        <w:r>
          <w:rPr>
            <w:noProof/>
            <w:webHidden/>
          </w:rPr>
          <w:t>12</w:t>
        </w:r>
        <w:r>
          <w:rPr>
            <w:noProof/>
            <w:webHidden/>
          </w:rPr>
          <w:fldChar w:fldCharType="end"/>
        </w:r>
      </w:hyperlink>
    </w:p>
    <w:p w14:paraId="0BFE4F32" w14:textId="078462FD" w:rsidR="00C0504C" w:rsidRDefault="00C0504C">
      <w:pPr>
        <w:pStyle w:val="TOC2"/>
        <w:tabs>
          <w:tab w:val="left" w:pos="1134"/>
        </w:tabs>
        <w:rPr>
          <w:rFonts w:asciiTheme="minorHAnsi" w:eastAsiaTheme="minorEastAsia" w:hAnsiTheme="minorHAnsi"/>
          <w:noProof/>
          <w:sz w:val="22"/>
          <w:szCs w:val="22"/>
          <w:lang w:val="nl-NL" w:eastAsia="nl-NL"/>
        </w:rPr>
      </w:pPr>
      <w:hyperlink w:anchor="_Toc7609272" w:history="1">
        <w:r w:rsidRPr="00B235AC">
          <w:rPr>
            <w:rStyle w:val="Hyperlink"/>
            <w:rFonts w:cs="Arial"/>
            <w:noProof/>
            <w:lang w:bidi="en-US"/>
          </w:rPr>
          <w:t>4.1</w:t>
        </w:r>
        <w:r>
          <w:rPr>
            <w:rFonts w:asciiTheme="minorHAnsi" w:eastAsiaTheme="minorEastAsia" w:hAnsiTheme="minorHAnsi"/>
            <w:noProof/>
            <w:sz w:val="22"/>
            <w:szCs w:val="22"/>
            <w:lang w:val="nl-NL" w:eastAsia="nl-NL"/>
          </w:rPr>
          <w:tab/>
        </w:r>
        <w:r w:rsidRPr="00B235AC">
          <w:rPr>
            <w:rStyle w:val="Hyperlink"/>
            <w:rFonts w:cs="Arial"/>
            <w:noProof/>
            <w:lang w:bidi="en-US"/>
          </w:rPr>
          <w:t>Progress against explicit targets and milestones</w:t>
        </w:r>
        <w:r>
          <w:rPr>
            <w:noProof/>
            <w:webHidden/>
          </w:rPr>
          <w:tab/>
        </w:r>
        <w:r>
          <w:rPr>
            <w:noProof/>
            <w:webHidden/>
          </w:rPr>
          <w:fldChar w:fldCharType="begin"/>
        </w:r>
        <w:r>
          <w:rPr>
            <w:noProof/>
            <w:webHidden/>
          </w:rPr>
          <w:instrText xml:space="preserve"> PAGEREF _Toc7609272 \h </w:instrText>
        </w:r>
        <w:r>
          <w:rPr>
            <w:noProof/>
            <w:webHidden/>
          </w:rPr>
        </w:r>
        <w:r>
          <w:rPr>
            <w:noProof/>
            <w:webHidden/>
          </w:rPr>
          <w:fldChar w:fldCharType="separate"/>
        </w:r>
        <w:r>
          <w:rPr>
            <w:noProof/>
            <w:webHidden/>
          </w:rPr>
          <w:t>12</w:t>
        </w:r>
        <w:r>
          <w:rPr>
            <w:noProof/>
            <w:webHidden/>
          </w:rPr>
          <w:fldChar w:fldCharType="end"/>
        </w:r>
      </w:hyperlink>
    </w:p>
    <w:p w14:paraId="3630F799" w14:textId="1D016029" w:rsidR="00C0504C" w:rsidRDefault="00C0504C">
      <w:pPr>
        <w:pStyle w:val="TOC2"/>
        <w:tabs>
          <w:tab w:val="left" w:pos="1134"/>
        </w:tabs>
        <w:rPr>
          <w:rFonts w:asciiTheme="minorHAnsi" w:eastAsiaTheme="minorEastAsia" w:hAnsiTheme="minorHAnsi"/>
          <w:noProof/>
          <w:sz w:val="22"/>
          <w:szCs w:val="22"/>
          <w:lang w:val="nl-NL" w:eastAsia="nl-NL"/>
        </w:rPr>
      </w:pPr>
      <w:hyperlink w:anchor="_Toc7609273" w:history="1">
        <w:r w:rsidRPr="00B235AC">
          <w:rPr>
            <w:rStyle w:val="Hyperlink"/>
            <w:noProof/>
            <w:lang w:bidi="en-US"/>
          </w:rPr>
          <w:t>4.2</w:t>
        </w:r>
        <w:r>
          <w:rPr>
            <w:rFonts w:asciiTheme="minorHAnsi" w:eastAsiaTheme="minorEastAsia" w:hAnsiTheme="minorHAnsi"/>
            <w:noProof/>
            <w:sz w:val="22"/>
            <w:szCs w:val="22"/>
            <w:lang w:val="nl-NL" w:eastAsia="nl-NL"/>
          </w:rPr>
          <w:tab/>
        </w:r>
        <w:r w:rsidRPr="00B235AC">
          <w:rPr>
            <w:rStyle w:val="Hyperlink"/>
            <w:noProof/>
            <w:lang w:bidi="en-US"/>
          </w:rPr>
          <w:t>What is replacing institutional care?</w:t>
        </w:r>
        <w:r>
          <w:rPr>
            <w:noProof/>
            <w:webHidden/>
          </w:rPr>
          <w:tab/>
        </w:r>
        <w:r>
          <w:rPr>
            <w:noProof/>
            <w:webHidden/>
          </w:rPr>
          <w:fldChar w:fldCharType="begin"/>
        </w:r>
        <w:r>
          <w:rPr>
            <w:noProof/>
            <w:webHidden/>
          </w:rPr>
          <w:instrText xml:space="preserve"> PAGEREF _Toc7609273 \h </w:instrText>
        </w:r>
        <w:r>
          <w:rPr>
            <w:noProof/>
            <w:webHidden/>
          </w:rPr>
        </w:r>
        <w:r>
          <w:rPr>
            <w:noProof/>
            <w:webHidden/>
          </w:rPr>
          <w:fldChar w:fldCharType="separate"/>
        </w:r>
        <w:r>
          <w:rPr>
            <w:noProof/>
            <w:webHidden/>
          </w:rPr>
          <w:t>12</w:t>
        </w:r>
        <w:r>
          <w:rPr>
            <w:noProof/>
            <w:webHidden/>
          </w:rPr>
          <w:fldChar w:fldCharType="end"/>
        </w:r>
      </w:hyperlink>
    </w:p>
    <w:p w14:paraId="0F977889" w14:textId="3CD5AD46" w:rsidR="00C0504C" w:rsidRDefault="00C0504C">
      <w:pPr>
        <w:pStyle w:val="TOC2"/>
        <w:tabs>
          <w:tab w:val="left" w:pos="1134"/>
        </w:tabs>
        <w:rPr>
          <w:rFonts w:asciiTheme="minorHAnsi" w:eastAsiaTheme="minorEastAsia" w:hAnsiTheme="minorHAnsi"/>
          <w:noProof/>
          <w:sz w:val="22"/>
          <w:szCs w:val="22"/>
          <w:lang w:val="nl-NL" w:eastAsia="nl-NL"/>
        </w:rPr>
      </w:pPr>
      <w:hyperlink w:anchor="_Toc7609274" w:history="1">
        <w:r w:rsidRPr="00B235AC">
          <w:rPr>
            <w:rStyle w:val="Hyperlink"/>
            <w:rFonts w:cs="Arial"/>
            <w:noProof/>
            <w:lang w:bidi="en-US"/>
          </w:rPr>
          <w:t>4.3</w:t>
        </w:r>
        <w:r>
          <w:rPr>
            <w:rFonts w:asciiTheme="minorHAnsi" w:eastAsiaTheme="minorEastAsia" w:hAnsiTheme="minorHAnsi"/>
            <w:noProof/>
            <w:sz w:val="22"/>
            <w:szCs w:val="22"/>
            <w:lang w:val="nl-NL" w:eastAsia="nl-NL"/>
          </w:rPr>
          <w:tab/>
        </w:r>
        <w:r w:rsidRPr="00B235AC">
          <w:rPr>
            <w:rStyle w:val="Hyperlink"/>
            <w:rFonts w:cs="Arial"/>
            <w:noProof/>
            <w:lang w:bidi="en-US"/>
          </w:rPr>
          <w:t>Satisfaction levels among persons with disabilities</w:t>
        </w:r>
        <w:r>
          <w:rPr>
            <w:noProof/>
            <w:webHidden/>
          </w:rPr>
          <w:tab/>
        </w:r>
        <w:r>
          <w:rPr>
            <w:noProof/>
            <w:webHidden/>
          </w:rPr>
          <w:fldChar w:fldCharType="begin"/>
        </w:r>
        <w:r>
          <w:rPr>
            <w:noProof/>
            <w:webHidden/>
          </w:rPr>
          <w:instrText xml:space="preserve"> PAGEREF _Toc7609274 \h </w:instrText>
        </w:r>
        <w:r>
          <w:rPr>
            <w:noProof/>
            <w:webHidden/>
          </w:rPr>
        </w:r>
        <w:r>
          <w:rPr>
            <w:noProof/>
            <w:webHidden/>
          </w:rPr>
          <w:fldChar w:fldCharType="separate"/>
        </w:r>
        <w:r>
          <w:rPr>
            <w:noProof/>
            <w:webHidden/>
          </w:rPr>
          <w:t>13</w:t>
        </w:r>
        <w:r>
          <w:rPr>
            <w:noProof/>
            <w:webHidden/>
          </w:rPr>
          <w:fldChar w:fldCharType="end"/>
        </w:r>
      </w:hyperlink>
    </w:p>
    <w:p w14:paraId="40F7CBFA" w14:textId="6DCC5D8C" w:rsidR="00C0504C" w:rsidRDefault="00C0504C">
      <w:pPr>
        <w:pStyle w:val="TOC1"/>
        <w:rPr>
          <w:rFonts w:asciiTheme="minorHAnsi" w:eastAsiaTheme="minorEastAsia" w:hAnsiTheme="minorHAnsi"/>
          <w:noProof/>
          <w:sz w:val="22"/>
          <w:szCs w:val="22"/>
          <w:lang w:val="nl-NL" w:eastAsia="nl-NL"/>
        </w:rPr>
      </w:pPr>
      <w:hyperlink w:anchor="_Toc7609275" w:history="1">
        <w:r w:rsidRPr="00B235AC">
          <w:rPr>
            <w:rStyle w:val="Hyperlink"/>
            <w:rFonts w:cs="Arial"/>
            <w:noProof/>
            <w:lang w:bidi="en-US"/>
          </w:rPr>
          <w:t>PART B – Critique and evaluation</w:t>
        </w:r>
        <w:r>
          <w:rPr>
            <w:noProof/>
            <w:webHidden/>
          </w:rPr>
          <w:tab/>
        </w:r>
        <w:r>
          <w:rPr>
            <w:noProof/>
            <w:webHidden/>
          </w:rPr>
          <w:fldChar w:fldCharType="begin"/>
        </w:r>
        <w:r>
          <w:rPr>
            <w:noProof/>
            <w:webHidden/>
          </w:rPr>
          <w:instrText xml:space="preserve"> PAGEREF _Toc7609275 \h </w:instrText>
        </w:r>
        <w:r>
          <w:rPr>
            <w:noProof/>
            <w:webHidden/>
          </w:rPr>
        </w:r>
        <w:r>
          <w:rPr>
            <w:noProof/>
            <w:webHidden/>
          </w:rPr>
          <w:fldChar w:fldCharType="separate"/>
        </w:r>
        <w:r>
          <w:rPr>
            <w:noProof/>
            <w:webHidden/>
          </w:rPr>
          <w:t>15</w:t>
        </w:r>
        <w:r>
          <w:rPr>
            <w:noProof/>
            <w:webHidden/>
          </w:rPr>
          <w:fldChar w:fldCharType="end"/>
        </w:r>
      </w:hyperlink>
    </w:p>
    <w:p w14:paraId="7D59161A" w14:textId="78A52C2D" w:rsidR="00C0504C" w:rsidRDefault="00C0504C">
      <w:pPr>
        <w:pStyle w:val="TOC1"/>
        <w:rPr>
          <w:rFonts w:asciiTheme="minorHAnsi" w:eastAsiaTheme="minorEastAsia" w:hAnsiTheme="minorHAnsi"/>
          <w:noProof/>
          <w:sz w:val="22"/>
          <w:szCs w:val="22"/>
          <w:lang w:val="nl-NL" w:eastAsia="nl-NL"/>
        </w:rPr>
      </w:pPr>
      <w:hyperlink w:anchor="_Toc7609276" w:history="1">
        <w:r w:rsidRPr="00B235AC">
          <w:rPr>
            <w:rStyle w:val="Hyperlink"/>
            <w:rFonts w:cs="Arial"/>
            <w:noProof/>
            <w:lang w:bidi="en-US"/>
          </w:rPr>
          <w:t>5</w:t>
        </w:r>
        <w:r>
          <w:rPr>
            <w:rFonts w:asciiTheme="minorHAnsi" w:eastAsiaTheme="minorEastAsia" w:hAnsiTheme="minorHAnsi"/>
            <w:noProof/>
            <w:sz w:val="22"/>
            <w:szCs w:val="22"/>
            <w:lang w:val="nl-NL" w:eastAsia="nl-NL"/>
          </w:rPr>
          <w:tab/>
        </w:r>
        <w:r w:rsidRPr="00B235AC">
          <w:rPr>
            <w:rStyle w:val="Hyperlink"/>
            <w:rFonts w:cs="Arial"/>
            <w:noProof/>
            <w:lang w:bidi="en-US"/>
          </w:rPr>
          <w:t>Observations and recommendations of official bodies</w:t>
        </w:r>
        <w:r>
          <w:rPr>
            <w:noProof/>
            <w:webHidden/>
          </w:rPr>
          <w:tab/>
        </w:r>
        <w:r>
          <w:rPr>
            <w:noProof/>
            <w:webHidden/>
          </w:rPr>
          <w:fldChar w:fldCharType="begin"/>
        </w:r>
        <w:r>
          <w:rPr>
            <w:noProof/>
            <w:webHidden/>
          </w:rPr>
          <w:instrText xml:space="preserve"> PAGEREF _Toc7609276 \h </w:instrText>
        </w:r>
        <w:r>
          <w:rPr>
            <w:noProof/>
            <w:webHidden/>
          </w:rPr>
        </w:r>
        <w:r>
          <w:rPr>
            <w:noProof/>
            <w:webHidden/>
          </w:rPr>
          <w:fldChar w:fldCharType="separate"/>
        </w:r>
        <w:r>
          <w:rPr>
            <w:noProof/>
            <w:webHidden/>
          </w:rPr>
          <w:t>15</w:t>
        </w:r>
        <w:r>
          <w:rPr>
            <w:noProof/>
            <w:webHidden/>
          </w:rPr>
          <w:fldChar w:fldCharType="end"/>
        </w:r>
      </w:hyperlink>
    </w:p>
    <w:p w14:paraId="5DB1CCF1" w14:textId="5EA6FB3B" w:rsidR="00C0504C" w:rsidRDefault="00C0504C">
      <w:pPr>
        <w:pStyle w:val="TOC2"/>
        <w:tabs>
          <w:tab w:val="left" w:pos="1134"/>
        </w:tabs>
        <w:rPr>
          <w:rFonts w:asciiTheme="minorHAnsi" w:eastAsiaTheme="minorEastAsia" w:hAnsiTheme="minorHAnsi"/>
          <w:noProof/>
          <w:sz w:val="22"/>
          <w:szCs w:val="22"/>
          <w:lang w:val="nl-NL" w:eastAsia="nl-NL"/>
        </w:rPr>
      </w:pPr>
      <w:hyperlink w:anchor="_Toc7609277" w:history="1">
        <w:r w:rsidRPr="00B235AC">
          <w:rPr>
            <w:rStyle w:val="Hyperlink"/>
            <w:rFonts w:cs="Arial"/>
            <w:noProof/>
            <w:lang w:bidi="en-US"/>
          </w:rPr>
          <w:t>5.1</w:t>
        </w:r>
        <w:r>
          <w:rPr>
            <w:rFonts w:asciiTheme="minorHAnsi" w:eastAsiaTheme="minorEastAsia" w:hAnsiTheme="minorHAnsi"/>
            <w:noProof/>
            <w:sz w:val="22"/>
            <w:szCs w:val="22"/>
            <w:lang w:val="nl-NL" w:eastAsia="nl-NL"/>
          </w:rPr>
          <w:tab/>
        </w:r>
        <w:r w:rsidRPr="00B235AC">
          <w:rPr>
            <w:rStyle w:val="Hyperlink"/>
            <w:rFonts w:cs="Arial"/>
            <w:noProof/>
            <w:lang w:bidi="en-US"/>
          </w:rPr>
          <w:t>Observations by the UN Committee on the Rights of Persons with Disabilities on Article 19</w:t>
        </w:r>
        <w:r>
          <w:rPr>
            <w:noProof/>
            <w:webHidden/>
          </w:rPr>
          <w:tab/>
        </w:r>
        <w:r>
          <w:rPr>
            <w:noProof/>
            <w:webHidden/>
          </w:rPr>
          <w:fldChar w:fldCharType="begin"/>
        </w:r>
        <w:r>
          <w:rPr>
            <w:noProof/>
            <w:webHidden/>
          </w:rPr>
          <w:instrText xml:space="preserve"> PAGEREF _Toc7609277 \h </w:instrText>
        </w:r>
        <w:r>
          <w:rPr>
            <w:noProof/>
            <w:webHidden/>
          </w:rPr>
        </w:r>
        <w:r>
          <w:rPr>
            <w:noProof/>
            <w:webHidden/>
          </w:rPr>
          <w:fldChar w:fldCharType="separate"/>
        </w:r>
        <w:r>
          <w:rPr>
            <w:noProof/>
            <w:webHidden/>
          </w:rPr>
          <w:t>15</w:t>
        </w:r>
        <w:r>
          <w:rPr>
            <w:noProof/>
            <w:webHidden/>
          </w:rPr>
          <w:fldChar w:fldCharType="end"/>
        </w:r>
      </w:hyperlink>
    </w:p>
    <w:p w14:paraId="0910302A" w14:textId="6F9259C0" w:rsidR="00C0504C" w:rsidRDefault="00C0504C">
      <w:pPr>
        <w:pStyle w:val="TOC2"/>
        <w:tabs>
          <w:tab w:val="left" w:pos="1134"/>
        </w:tabs>
        <w:rPr>
          <w:rFonts w:asciiTheme="minorHAnsi" w:eastAsiaTheme="minorEastAsia" w:hAnsiTheme="minorHAnsi"/>
          <w:noProof/>
          <w:sz w:val="22"/>
          <w:szCs w:val="22"/>
          <w:lang w:val="nl-NL" w:eastAsia="nl-NL"/>
        </w:rPr>
      </w:pPr>
      <w:hyperlink w:anchor="_Toc7609278" w:history="1">
        <w:r w:rsidRPr="00B235AC">
          <w:rPr>
            <w:rStyle w:val="Hyperlink"/>
            <w:rFonts w:cs="Arial"/>
            <w:noProof/>
            <w:lang w:bidi="en-US"/>
          </w:rPr>
          <w:t>5.2</w:t>
        </w:r>
        <w:r>
          <w:rPr>
            <w:rFonts w:asciiTheme="minorHAnsi" w:eastAsiaTheme="minorEastAsia" w:hAnsiTheme="minorHAnsi"/>
            <w:noProof/>
            <w:sz w:val="22"/>
            <w:szCs w:val="22"/>
            <w:lang w:val="nl-NL" w:eastAsia="nl-NL"/>
          </w:rPr>
          <w:tab/>
        </w:r>
        <w:r w:rsidRPr="00B235AC">
          <w:rPr>
            <w:rStyle w:val="Hyperlink"/>
            <w:rFonts w:cs="Arial"/>
            <w:noProof/>
            <w:lang w:bidi="en-US"/>
          </w:rPr>
          <w:t>Recent observations by other official European and international bodies</w:t>
        </w:r>
        <w:r>
          <w:rPr>
            <w:noProof/>
            <w:webHidden/>
          </w:rPr>
          <w:tab/>
        </w:r>
        <w:r>
          <w:rPr>
            <w:noProof/>
            <w:webHidden/>
          </w:rPr>
          <w:fldChar w:fldCharType="begin"/>
        </w:r>
        <w:r>
          <w:rPr>
            <w:noProof/>
            <w:webHidden/>
          </w:rPr>
          <w:instrText xml:space="preserve"> PAGEREF _Toc7609278 \h </w:instrText>
        </w:r>
        <w:r>
          <w:rPr>
            <w:noProof/>
            <w:webHidden/>
          </w:rPr>
        </w:r>
        <w:r>
          <w:rPr>
            <w:noProof/>
            <w:webHidden/>
          </w:rPr>
          <w:fldChar w:fldCharType="separate"/>
        </w:r>
        <w:r>
          <w:rPr>
            <w:noProof/>
            <w:webHidden/>
          </w:rPr>
          <w:t>17</w:t>
        </w:r>
        <w:r>
          <w:rPr>
            <w:noProof/>
            <w:webHidden/>
          </w:rPr>
          <w:fldChar w:fldCharType="end"/>
        </w:r>
      </w:hyperlink>
    </w:p>
    <w:p w14:paraId="4D148357" w14:textId="3ECEDB91" w:rsidR="00C0504C" w:rsidRDefault="00C0504C">
      <w:pPr>
        <w:pStyle w:val="TOC2"/>
        <w:tabs>
          <w:tab w:val="left" w:pos="1134"/>
        </w:tabs>
        <w:rPr>
          <w:rFonts w:asciiTheme="minorHAnsi" w:eastAsiaTheme="minorEastAsia" w:hAnsiTheme="minorHAnsi"/>
          <w:noProof/>
          <w:sz w:val="22"/>
          <w:szCs w:val="22"/>
          <w:lang w:val="nl-NL" w:eastAsia="nl-NL"/>
        </w:rPr>
      </w:pPr>
      <w:hyperlink w:anchor="_Toc7609279" w:history="1">
        <w:r w:rsidRPr="00B235AC">
          <w:rPr>
            <w:rStyle w:val="Hyperlink"/>
            <w:rFonts w:cs="Arial"/>
            <w:noProof/>
            <w:lang w:bidi="en-US"/>
          </w:rPr>
          <w:t>5.3</w:t>
        </w:r>
        <w:r>
          <w:rPr>
            <w:rFonts w:asciiTheme="minorHAnsi" w:eastAsiaTheme="minorEastAsia" w:hAnsiTheme="minorHAnsi"/>
            <w:noProof/>
            <w:sz w:val="22"/>
            <w:szCs w:val="22"/>
            <w:lang w:val="nl-NL" w:eastAsia="nl-NL"/>
          </w:rPr>
          <w:tab/>
        </w:r>
        <w:r w:rsidRPr="00B235AC">
          <w:rPr>
            <w:rStyle w:val="Hyperlink"/>
            <w:rFonts w:cs="Arial"/>
            <w:noProof/>
            <w:lang w:bidi="en-US"/>
          </w:rPr>
          <w:t>Observations and recommendations by national human rights bodies</w:t>
        </w:r>
        <w:r>
          <w:rPr>
            <w:noProof/>
            <w:webHidden/>
          </w:rPr>
          <w:tab/>
        </w:r>
        <w:r>
          <w:rPr>
            <w:noProof/>
            <w:webHidden/>
          </w:rPr>
          <w:fldChar w:fldCharType="begin"/>
        </w:r>
        <w:r>
          <w:rPr>
            <w:noProof/>
            <w:webHidden/>
          </w:rPr>
          <w:instrText xml:space="preserve"> PAGEREF _Toc7609279 \h </w:instrText>
        </w:r>
        <w:r>
          <w:rPr>
            <w:noProof/>
            <w:webHidden/>
          </w:rPr>
        </w:r>
        <w:r>
          <w:rPr>
            <w:noProof/>
            <w:webHidden/>
          </w:rPr>
          <w:fldChar w:fldCharType="separate"/>
        </w:r>
        <w:r>
          <w:rPr>
            <w:noProof/>
            <w:webHidden/>
          </w:rPr>
          <w:t>18</w:t>
        </w:r>
        <w:r>
          <w:rPr>
            <w:noProof/>
            <w:webHidden/>
          </w:rPr>
          <w:fldChar w:fldCharType="end"/>
        </w:r>
      </w:hyperlink>
    </w:p>
    <w:p w14:paraId="26FF7068" w14:textId="5DF7EB94" w:rsidR="00C0504C" w:rsidRDefault="00C0504C">
      <w:pPr>
        <w:pStyle w:val="TOC2"/>
        <w:tabs>
          <w:tab w:val="left" w:pos="1134"/>
        </w:tabs>
        <w:rPr>
          <w:rFonts w:asciiTheme="minorHAnsi" w:eastAsiaTheme="minorEastAsia" w:hAnsiTheme="minorHAnsi"/>
          <w:noProof/>
          <w:sz w:val="22"/>
          <w:szCs w:val="22"/>
          <w:lang w:val="nl-NL" w:eastAsia="nl-NL"/>
        </w:rPr>
      </w:pPr>
      <w:hyperlink w:anchor="_Toc7609280" w:history="1">
        <w:r w:rsidRPr="00B235AC">
          <w:rPr>
            <w:rStyle w:val="Hyperlink"/>
            <w:rFonts w:cs="Arial"/>
            <w:noProof/>
            <w:lang w:bidi="en-US"/>
          </w:rPr>
          <w:t>5.4</w:t>
        </w:r>
        <w:r>
          <w:rPr>
            <w:rFonts w:asciiTheme="minorHAnsi" w:eastAsiaTheme="minorEastAsia" w:hAnsiTheme="minorHAnsi"/>
            <w:noProof/>
            <w:sz w:val="22"/>
            <w:szCs w:val="22"/>
            <w:lang w:val="nl-NL" w:eastAsia="nl-NL"/>
          </w:rPr>
          <w:tab/>
        </w:r>
        <w:r w:rsidRPr="00B235AC">
          <w:rPr>
            <w:rStyle w:val="Hyperlink"/>
            <w:rFonts w:cs="Arial"/>
            <w:noProof/>
            <w:lang w:bidi="en-US"/>
          </w:rPr>
          <w:t>Observations and recommendations by national or regional/devolved Parliaments and assemblies</w:t>
        </w:r>
        <w:r>
          <w:rPr>
            <w:noProof/>
            <w:webHidden/>
          </w:rPr>
          <w:tab/>
        </w:r>
        <w:r>
          <w:rPr>
            <w:noProof/>
            <w:webHidden/>
          </w:rPr>
          <w:fldChar w:fldCharType="begin"/>
        </w:r>
        <w:r>
          <w:rPr>
            <w:noProof/>
            <w:webHidden/>
          </w:rPr>
          <w:instrText xml:space="preserve"> PAGEREF _Toc7609280 \h </w:instrText>
        </w:r>
        <w:r>
          <w:rPr>
            <w:noProof/>
            <w:webHidden/>
          </w:rPr>
        </w:r>
        <w:r>
          <w:rPr>
            <w:noProof/>
            <w:webHidden/>
          </w:rPr>
          <w:fldChar w:fldCharType="separate"/>
        </w:r>
        <w:r>
          <w:rPr>
            <w:noProof/>
            <w:webHidden/>
          </w:rPr>
          <w:t>18</w:t>
        </w:r>
        <w:r>
          <w:rPr>
            <w:noProof/>
            <w:webHidden/>
          </w:rPr>
          <w:fldChar w:fldCharType="end"/>
        </w:r>
      </w:hyperlink>
    </w:p>
    <w:p w14:paraId="30880A6B" w14:textId="58779E96" w:rsidR="00C0504C" w:rsidRDefault="00C0504C">
      <w:pPr>
        <w:pStyle w:val="TOC1"/>
        <w:rPr>
          <w:rFonts w:asciiTheme="minorHAnsi" w:eastAsiaTheme="minorEastAsia" w:hAnsiTheme="minorHAnsi"/>
          <w:noProof/>
          <w:sz w:val="22"/>
          <w:szCs w:val="22"/>
          <w:lang w:val="nl-NL" w:eastAsia="nl-NL"/>
        </w:rPr>
      </w:pPr>
      <w:hyperlink w:anchor="_Toc7609281" w:history="1">
        <w:r w:rsidRPr="00B235AC">
          <w:rPr>
            <w:rStyle w:val="Hyperlink"/>
            <w:rFonts w:cs="Arial"/>
            <w:noProof/>
            <w:lang w:bidi="en-US"/>
          </w:rPr>
          <w:t>6</w:t>
        </w:r>
        <w:r>
          <w:rPr>
            <w:rFonts w:asciiTheme="minorHAnsi" w:eastAsiaTheme="minorEastAsia" w:hAnsiTheme="minorHAnsi"/>
            <w:noProof/>
            <w:sz w:val="22"/>
            <w:szCs w:val="22"/>
            <w:lang w:val="nl-NL" w:eastAsia="nl-NL"/>
          </w:rPr>
          <w:tab/>
        </w:r>
        <w:r w:rsidRPr="00B235AC">
          <w:rPr>
            <w:rStyle w:val="Hyperlink"/>
            <w:rFonts w:cs="Arial"/>
            <w:noProof/>
            <w:lang w:bidi="en-US"/>
          </w:rPr>
          <w:t>Views and perspectives of civil society including DPOs</w:t>
        </w:r>
        <w:r>
          <w:rPr>
            <w:noProof/>
            <w:webHidden/>
          </w:rPr>
          <w:tab/>
        </w:r>
        <w:r>
          <w:rPr>
            <w:noProof/>
            <w:webHidden/>
          </w:rPr>
          <w:fldChar w:fldCharType="begin"/>
        </w:r>
        <w:r>
          <w:rPr>
            <w:noProof/>
            <w:webHidden/>
          </w:rPr>
          <w:instrText xml:space="preserve"> PAGEREF _Toc7609281 \h </w:instrText>
        </w:r>
        <w:r>
          <w:rPr>
            <w:noProof/>
            <w:webHidden/>
          </w:rPr>
        </w:r>
        <w:r>
          <w:rPr>
            <w:noProof/>
            <w:webHidden/>
          </w:rPr>
          <w:fldChar w:fldCharType="separate"/>
        </w:r>
        <w:r>
          <w:rPr>
            <w:noProof/>
            <w:webHidden/>
          </w:rPr>
          <w:t>18</w:t>
        </w:r>
        <w:r>
          <w:rPr>
            <w:noProof/>
            <w:webHidden/>
          </w:rPr>
          <w:fldChar w:fldCharType="end"/>
        </w:r>
      </w:hyperlink>
    </w:p>
    <w:p w14:paraId="6E046D08" w14:textId="26E8E31F" w:rsidR="00C0504C" w:rsidRDefault="00C0504C">
      <w:pPr>
        <w:pStyle w:val="TOC2"/>
        <w:tabs>
          <w:tab w:val="left" w:pos="1134"/>
        </w:tabs>
        <w:rPr>
          <w:rFonts w:asciiTheme="minorHAnsi" w:eastAsiaTheme="minorEastAsia" w:hAnsiTheme="minorHAnsi"/>
          <w:noProof/>
          <w:sz w:val="22"/>
          <w:szCs w:val="22"/>
          <w:lang w:val="nl-NL" w:eastAsia="nl-NL"/>
        </w:rPr>
      </w:pPr>
      <w:hyperlink w:anchor="_Toc7609282" w:history="1">
        <w:r w:rsidRPr="00B235AC">
          <w:rPr>
            <w:rStyle w:val="Hyperlink"/>
            <w:rFonts w:cs="Arial"/>
            <w:noProof/>
            <w:lang w:bidi="en-US"/>
          </w:rPr>
          <w:t>6.1</w:t>
        </w:r>
        <w:r>
          <w:rPr>
            <w:rFonts w:asciiTheme="minorHAnsi" w:eastAsiaTheme="minorEastAsia" w:hAnsiTheme="minorHAnsi"/>
            <w:noProof/>
            <w:sz w:val="22"/>
            <w:szCs w:val="22"/>
            <w:lang w:val="nl-NL" w:eastAsia="nl-NL"/>
          </w:rPr>
          <w:tab/>
        </w:r>
        <w:r w:rsidRPr="00B235AC">
          <w:rPr>
            <w:rStyle w:val="Hyperlink"/>
            <w:rFonts w:cs="Arial"/>
            <w:noProof/>
            <w:lang w:bidi="en-US"/>
          </w:rPr>
          <w:t>UNCRPD civil society shadow and alternative reports</w:t>
        </w:r>
        <w:r>
          <w:rPr>
            <w:noProof/>
            <w:webHidden/>
          </w:rPr>
          <w:tab/>
        </w:r>
        <w:r>
          <w:rPr>
            <w:noProof/>
            <w:webHidden/>
          </w:rPr>
          <w:fldChar w:fldCharType="begin"/>
        </w:r>
        <w:r>
          <w:rPr>
            <w:noProof/>
            <w:webHidden/>
          </w:rPr>
          <w:instrText xml:space="preserve"> PAGEREF _Toc7609282 \h </w:instrText>
        </w:r>
        <w:r>
          <w:rPr>
            <w:noProof/>
            <w:webHidden/>
          </w:rPr>
        </w:r>
        <w:r>
          <w:rPr>
            <w:noProof/>
            <w:webHidden/>
          </w:rPr>
          <w:fldChar w:fldCharType="separate"/>
        </w:r>
        <w:r>
          <w:rPr>
            <w:noProof/>
            <w:webHidden/>
          </w:rPr>
          <w:t>18</w:t>
        </w:r>
        <w:r>
          <w:rPr>
            <w:noProof/>
            <w:webHidden/>
          </w:rPr>
          <w:fldChar w:fldCharType="end"/>
        </w:r>
      </w:hyperlink>
    </w:p>
    <w:p w14:paraId="3AD7B4A8" w14:textId="6BBA9EFB" w:rsidR="00C0504C" w:rsidRDefault="00C0504C">
      <w:pPr>
        <w:pStyle w:val="TOC2"/>
        <w:tabs>
          <w:tab w:val="left" w:pos="1134"/>
        </w:tabs>
        <w:rPr>
          <w:rFonts w:asciiTheme="minorHAnsi" w:eastAsiaTheme="minorEastAsia" w:hAnsiTheme="minorHAnsi"/>
          <w:noProof/>
          <w:sz w:val="22"/>
          <w:szCs w:val="22"/>
          <w:lang w:val="nl-NL" w:eastAsia="nl-NL"/>
        </w:rPr>
      </w:pPr>
      <w:hyperlink w:anchor="_Toc7609283" w:history="1">
        <w:r w:rsidRPr="00B235AC">
          <w:rPr>
            <w:rStyle w:val="Hyperlink"/>
            <w:rFonts w:cs="Arial"/>
            <w:noProof/>
            <w:lang w:bidi="en-US"/>
          </w:rPr>
          <w:t>6.2</w:t>
        </w:r>
        <w:r>
          <w:rPr>
            <w:rFonts w:asciiTheme="minorHAnsi" w:eastAsiaTheme="minorEastAsia" w:hAnsiTheme="minorHAnsi"/>
            <w:noProof/>
            <w:sz w:val="22"/>
            <w:szCs w:val="22"/>
            <w:lang w:val="nl-NL" w:eastAsia="nl-NL"/>
          </w:rPr>
          <w:tab/>
        </w:r>
        <w:r w:rsidRPr="00B235AC">
          <w:rPr>
            <w:rStyle w:val="Hyperlink"/>
            <w:rFonts w:cs="Arial"/>
            <w:noProof/>
            <w:lang w:bidi="en-US"/>
          </w:rPr>
          <w:t>‘Grey literature’ at the national level</w:t>
        </w:r>
        <w:r>
          <w:rPr>
            <w:noProof/>
            <w:webHidden/>
          </w:rPr>
          <w:tab/>
        </w:r>
        <w:r>
          <w:rPr>
            <w:noProof/>
            <w:webHidden/>
          </w:rPr>
          <w:fldChar w:fldCharType="begin"/>
        </w:r>
        <w:r>
          <w:rPr>
            <w:noProof/>
            <w:webHidden/>
          </w:rPr>
          <w:instrText xml:space="preserve"> PAGEREF _Toc7609283 \h </w:instrText>
        </w:r>
        <w:r>
          <w:rPr>
            <w:noProof/>
            <w:webHidden/>
          </w:rPr>
        </w:r>
        <w:r>
          <w:rPr>
            <w:noProof/>
            <w:webHidden/>
          </w:rPr>
          <w:fldChar w:fldCharType="separate"/>
        </w:r>
        <w:r>
          <w:rPr>
            <w:noProof/>
            <w:webHidden/>
          </w:rPr>
          <w:t>22</w:t>
        </w:r>
        <w:r>
          <w:rPr>
            <w:noProof/>
            <w:webHidden/>
          </w:rPr>
          <w:fldChar w:fldCharType="end"/>
        </w:r>
      </w:hyperlink>
    </w:p>
    <w:p w14:paraId="003A687A" w14:textId="777F6624" w:rsidR="00C0504C" w:rsidRDefault="00C0504C">
      <w:pPr>
        <w:pStyle w:val="TOC2"/>
        <w:tabs>
          <w:tab w:val="left" w:pos="1134"/>
        </w:tabs>
        <w:rPr>
          <w:rFonts w:asciiTheme="minorHAnsi" w:eastAsiaTheme="minorEastAsia" w:hAnsiTheme="minorHAnsi"/>
          <w:noProof/>
          <w:sz w:val="22"/>
          <w:szCs w:val="22"/>
          <w:lang w:val="nl-NL" w:eastAsia="nl-NL"/>
        </w:rPr>
      </w:pPr>
      <w:hyperlink w:anchor="_Toc7609284" w:history="1">
        <w:r w:rsidRPr="00B235AC">
          <w:rPr>
            <w:rStyle w:val="Hyperlink"/>
            <w:rFonts w:cs="Arial"/>
            <w:noProof/>
            <w:lang w:bidi="en-US"/>
          </w:rPr>
          <w:t>6.3</w:t>
        </w:r>
        <w:r>
          <w:rPr>
            <w:rFonts w:asciiTheme="minorHAnsi" w:eastAsiaTheme="minorEastAsia" w:hAnsiTheme="minorHAnsi"/>
            <w:noProof/>
            <w:sz w:val="22"/>
            <w:szCs w:val="22"/>
            <w:lang w:val="nl-NL" w:eastAsia="nl-NL"/>
          </w:rPr>
          <w:tab/>
        </w:r>
        <w:r w:rsidRPr="00B235AC">
          <w:rPr>
            <w:rStyle w:val="Hyperlink"/>
            <w:rFonts w:cs="Arial"/>
            <w:noProof/>
            <w:lang w:bidi="en-US"/>
          </w:rPr>
          <w:t>Pan-European and international civil society organisations</w:t>
        </w:r>
        <w:r>
          <w:rPr>
            <w:noProof/>
            <w:webHidden/>
          </w:rPr>
          <w:tab/>
        </w:r>
        <w:r>
          <w:rPr>
            <w:noProof/>
            <w:webHidden/>
          </w:rPr>
          <w:fldChar w:fldCharType="begin"/>
        </w:r>
        <w:r>
          <w:rPr>
            <w:noProof/>
            <w:webHidden/>
          </w:rPr>
          <w:instrText xml:space="preserve"> PAGEREF _Toc7609284 \h </w:instrText>
        </w:r>
        <w:r>
          <w:rPr>
            <w:noProof/>
            <w:webHidden/>
          </w:rPr>
        </w:r>
        <w:r>
          <w:rPr>
            <w:noProof/>
            <w:webHidden/>
          </w:rPr>
          <w:fldChar w:fldCharType="separate"/>
        </w:r>
        <w:r>
          <w:rPr>
            <w:noProof/>
            <w:webHidden/>
          </w:rPr>
          <w:t>22</w:t>
        </w:r>
        <w:r>
          <w:rPr>
            <w:noProof/>
            <w:webHidden/>
          </w:rPr>
          <w:fldChar w:fldCharType="end"/>
        </w:r>
      </w:hyperlink>
    </w:p>
    <w:p w14:paraId="5BC6C2D2" w14:textId="7C30DDE8" w:rsidR="00C0504C" w:rsidRDefault="00C0504C">
      <w:pPr>
        <w:pStyle w:val="TOC1"/>
        <w:rPr>
          <w:rFonts w:asciiTheme="minorHAnsi" w:eastAsiaTheme="minorEastAsia" w:hAnsiTheme="minorHAnsi"/>
          <w:noProof/>
          <w:sz w:val="22"/>
          <w:szCs w:val="22"/>
          <w:lang w:val="nl-NL" w:eastAsia="nl-NL"/>
        </w:rPr>
      </w:pPr>
      <w:hyperlink w:anchor="_Toc7609285" w:history="1">
        <w:r w:rsidRPr="00B235AC">
          <w:rPr>
            <w:rStyle w:val="Hyperlink"/>
            <w:rFonts w:cs="Arial"/>
            <w:noProof/>
            <w:lang w:bidi="en-US"/>
          </w:rPr>
          <w:t>7</w:t>
        </w:r>
        <w:r>
          <w:rPr>
            <w:rFonts w:asciiTheme="minorHAnsi" w:eastAsiaTheme="minorEastAsia" w:hAnsiTheme="minorHAnsi"/>
            <w:noProof/>
            <w:sz w:val="22"/>
            <w:szCs w:val="22"/>
            <w:lang w:val="nl-NL" w:eastAsia="nl-NL"/>
          </w:rPr>
          <w:tab/>
        </w:r>
        <w:r w:rsidRPr="00B235AC">
          <w:rPr>
            <w:rStyle w:val="Hyperlink"/>
            <w:rFonts w:cs="Arial"/>
            <w:noProof/>
            <w:lang w:bidi="en-US"/>
          </w:rPr>
          <w:t>Academic research</w:t>
        </w:r>
        <w:r>
          <w:rPr>
            <w:noProof/>
            <w:webHidden/>
          </w:rPr>
          <w:tab/>
        </w:r>
        <w:r>
          <w:rPr>
            <w:noProof/>
            <w:webHidden/>
          </w:rPr>
          <w:fldChar w:fldCharType="begin"/>
        </w:r>
        <w:r>
          <w:rPr>
            <w:noProof/>
            <w:webHidden/>
          </w:rPr>
          <w:instrText xml:space="preserve"> PAGEREF _Toc7609285 \h </w:instrText>
        </w:r>
        <w:r>
          <w:rPr>
            <w:noProof/>
            <w:webHidden/>
          </w:rPr>
        </w:r>
        <w:r>
          <w:rPr>
            <w:noProof/>
            <w:webHidden/>
          </w:rPr>
          <w:fldChar w:fldCharType="separate"/>
        </w:r>
        <w:r>
          <w:rPr>
            <w:noProof/>
            <w:webHidden/>
          </w:rPr>
          <w:t>23</w:t>
        </w:r>
        <w:r>
          <w:rPr>
            <w:noProof/>
            <w:webHidden/>
          </w:rPr>
          <w:fldChar w:fldCharType="end"/>
        </w:r>
      </w:hyperlink>
    </w:p>
    <w:p w14:paraId="732CDC76" w14:textId="5D250A62" w:rsidR="00C0504C" w:rsidRDefault="00C0504C">
      <w:pPr>
        <w:pStyle w:val="TOC1"/>
        <w:rPr>
          <w:rFonts w:asciiTheme="minorHAnsi" w:eastAsiaTheme="minorEastAsia" w:hAnsiTheme="minorHAnsi"/>
          <w:noProof/>
          <w:sz w:val="22"/>
          <w:szCs w:val="22"/>
          <w:lang w:val="nl-NL" w:eastAsia="nl-NL"/>
        </w:rPr>
      </w:pPr>
      <w:hyperlink w:anchor="_Toc7609286" w:history="1">
        <w:r w:rsidRPr="00B235AC">
          <w:rPr>
            <w:rStyle w:val="Hyperlink"/>
            <w:rFonts w:cs="Arial"/>
            <w:noProof/>
            <w:lang w:bidi="en-US"/>
          </w:rPr>
          <w:t>PART C – Key points</w:t>
        </w:r>
        <w:r>
          <w:rPr>
            <w:noProof/>
            <w:webHidden/>
          </w:rPr>
          <w:tab/>
        </w:r>
        <w:r>
          <w:rPr>
            <w:noProof/>
            <w:webHidden/>
          </w:rPr>
          <w:fldChar w:fldCharType="begin"/>
        </w:r>
        <w:r>
          <w:rPr>
            <w:noProof/>
            <w:webHidden/>
          </w:rPr>
          <w:instrText xml:space="preserve"> PAGEREF _Toc7609286 \h </w:instrText>
        </w:r>
        <w:r>
          <w:rPr>
            <w:noProof/>
            <w:webHidden/>
          </w:rPr>
        </w:r>
        <w:r>
          <w:rPr>
            <w:noProof/>
            <w:webHidden/>
          </w:rPr>
          <w:fldChar w:fldCharType="separate"/>
        </w:r>
        <w:r>
          <w:rPr>
            <w:noProof/>
            <w:webHidden/>
          </w:rPr>
          <w:t>24</w:t>
        </w:r>
        <w:r>
          <w:rPr>
            <w:noProof/>
            <w:webHidden/>
          </w:rPr>
          <w:fldChar w:fldCharType="end"/>
        </w:r>
      </w:hyperlink>
    </w:p>
    <w:p w14:paraId="1B1291DB" w14:textId="7C084E1F" w:rsidR="00C0504C" w:rsidRDefault="00C0504C">
      <w:pPr>
        <w:pStyle w:val="TOC1"/>
        <w:rPr>
          <w:rFonts w:asciiTheme="minorHAnsi" w:eastAsiaTheme="minorEastAsia" w:hAnsiTheme="minorHAnsi"/>
          <w:noProof/>
          <w:sz w:val="22"/>
          <w:szCs w:val="22"/>
          <w:lang w:val="nl-NL" w:eastAsia="nl-NL"/>
        </w:rPr>
      </w:pPr>
      <w:hyperlink w:anchor="_Toc7609287" w:history="1">
        <w:r w:rsidRPr="00B235AC">
          <w:rPr>
            <w:rStyle w:val="Hyperlink"/>
            <w:rFonts w:cs="Arial"/>
            <w:noProof/>
            <w:lang w:bidi="en-US"/>
          </w:rPr>
          <w:t>8</w:t>
        </w:r>
        <w:r>
          <w:rPr>
            <w:rFonts w:asciiTheme="minorHAnsi" w:eastAsiaTheme="minorEastAsia" w:hAnsiTheme="minorHAnsi"/>
            <w:noProof/>
            <w:sz w:val="22"/>
            <w:szCs w:val="22"/>
            <w:lang w:val="nl-NL" w:eastAsia="nl-NL"/>
          </w:rPr>
          <w:tab/>
        </w:r>
        <w:r w:rsidRPr="00B235AC">
          <w:rPr>
            <w:rStyle w:val="Hyperlink"/>
            <w:rFonts w:cs="Arial"/>
            <w:noProof/>
            <w:lang w:bidi="en-US"/>
          </w:rPr>
          <w:t>Positive developments, including promising practice examples</w:t>
        </w:r>
        <w:r>
          <w:rPr>
            <w:noProof/>
            <w:webHidden/>
          </w:rPr>
          <w:tab/>
        </w:r>
        <w:r>
          <w:rPr>
            <w:noProof/>
            <w:webHidden/>
          </w:rPr>
          <w:fldChar w:fldCharType="begin"/>
        </w:r>
        <w:r>
          <w:rPr>
            <w:noProof/>
            <w:webHidden/>
          </w:rPr>
          <w:instrText xml:space="preserve"> PAGEREF _Toc7609287 \h </w:instrText>
        </w:r>
        <w:r>
          <w:rPr>
            <w:noProof/>
            <w:webHidden/>
          </w:rPr>
        </w:r>
        <w:r>
          <w:rPr>
            <w:noProof/>
            <w:webHidden/>
          </w:rPr>
          <w:fldChar w:fldCharType="separate"/>
        </w:r>
        <w:r>
          <w:rPr>
            <w:noProof/>
            <w:webHidden/>
          </w:rPr>
          <w:t>24</w:t>
        </w:r>
        <w:r>
          <w:rPr>
            <w:noProof/>
            <w:webHidden/>
          </w:rPr>
          <w:fldChar w:fldCharType="end"/>
        </w:r>
      </w:hyperlink>
    </w:p>
    <w:p w14:paraId="3272431E" w14:textId="4902E0BD" w:rsidR="00C0504C" w:rsidRDefault="00C0504C">
      <w:pPr>
        <w:pStyle w:val="TOC1"/>
        <w:rPr>
          <w:rFonts w:asciiTheme="minorHAnsi" w:eastAsiaTheme="minorEastAsia" w:hAnsiTheme="minorHAnsi"/>
          <w:noProof/>
          <w:sz w:val="22"/>
          <w:szCs w:val="22"/>
          <w:lang w:val="nl-NL" w:eastAsia="nl-NL"/>
        </w:rPr>
      </w:pPr>
      <w:hyperlink w:anchor="_Toc7609288" w:history="1">
        <w:r w:rsidRPr="00B235AC">
          <w:rPr>
            <w:rStyle w:val="Hyperlink"/>
            <w:rFonts w:cs="Arial"/>
            <w:noProof/>
            <w:lang w:bidi="en-US"/>
          </w:rPr>
          <w:t>9</w:t>
        </w:r>
        <w:r>
          <w:rPr>
            <w:rFonts w:asciiTheme="minorHAnsi" w:eastAsiaTheme="minorEastAsia" w:hAnsiTheme="minorHAnsi"/>
            <w:noProof/>
            <w:sz w:val="22"/>
            <w:szCs w:val="22"/>
            <w:lang w:val="nl-NL" w:eastAsia="nl-NL"/>
          </w:rPr>
          <w:tab/>
        </w:r>
        <w:r w:rsidRPr="00B235AC">
          <w:rPr>
            <w:rStyle w:val="Hyperlink"/>
            <w:rFonts w:cs="Arial"/>
            <w:noProof/>
            <w:lang w:bidi="en-US"/>
          </w:rPr>
          <w:t>Negative developments including examples of poor practice</w:t>
        </w:r>
        <w:r>
          <w:rPr>
            <w:noProof/>
            <w:webHidden/>
          </w:rPr>
          <w:tab/>
        </w:r>
        <w:r>
          <w:rPr>
            <w:noProof/>
            <w:webHidden/>
          </w:rPr>
          <w:fldChar w:fldCharType="begin"/>
        </w:r>
        <w:r>
          <w:rPr>
            <w:noProof/>
            <w:webHidden/>
          </w:rPr>
          <w:instrText xml:space="preserve"> PAGEREF _Toc7609288 \h </w:instrText>
        </w:r>
        <w:r>
          <w:rPr>
            <w:noProof/>
            <w:webHidden/>
          </w:rPr>
        </w:r>
        <w:r>
          <w:rPr>
            <w:noProof/>
            <w:webHidden/>
          </w:rPr>
          <w:fldChar w:fldCharType="separate"/>
        </w:r>
        <w:r>
          <w:rPr>
            <w:noProof/>
            <w:webHidden/>
          </w:rPr>
          <w:t>27</w:t>
        </w:r>
        <w:r>
          <w:rPr>
            <w:noProof/>
            <w:webHidden/>
          </w:rPr>
          <w:fldChar w:fldCharType="end"/>
        </w:r>
      </w:hyperlink>
    </w:p>
    <w:p w14:paraId="6485B774" w14:textId="68DBC06A" w:rsidR="00C0504C" w:rsidRDefault="00C0504C">
      <w:pPr>
        <w:pStyle w:val="TOC1"/>
        <w:rPr>
          <w:rFonts w:asciiTheme="minorHAnsi" w:eastAsiaTheme="minorEastAsia" w:hAnsiTheme="minorHAnsi"/>
          <w:noProof/>
          <w:sz w:val="22"/>
          <w:szCs w:val="22"/>
          <w:lang w:val="nl-NL" w:eastAsia="nl-NL"/>
        </w:rPr>
      </w:pPr>
      <w:hyperlink w:anchor="_Toc7609289" w:history="1">
        <w:r w:rsidRPr="00B235AC">
          <w:rPr>
            <w:rStyle w:val="Hyperlink"/>
            <w:rFonts w:cs="Arial"/>
            <w:noProof/>
            <w:lang w:bidi="en-US"/>
          </w:rPr>
          <w:t>10</w:t>
        </w:r>
        <w:r>
          <w:rPr>
            <w:rFonts w:asciiTheme="minorHAnsi" w:eastAsiaTheme="minorEastAsia" w:hAnsiTheme="minorHAnsi"/>
            <w:noProof/>
            <w:sz w:val="22"/>
            <w:szCs w:val="22"/>
            <w:lang w:val="nl-NL" w:eastAsia="nl-NL"/>
          </w:rPr>
          <w:tab/>
        </w:r>
        <w:r w:rsidRPr="00B235AC">
          <w:rPr>
            <w:rStyle w:val="Hyperlink"/>
            <w:rFonts w:cs="Arial"/>
            <w:noProof/>
            <w:lang w:bidi="en-US"/>
          </w:rPr>
          <w:t>Recommendations</w:t>
        </w:r>
        <w:r>
          <w:rPr>
            <w:noProof/>
            <w:webHidden/>
          </w:rPr>
          <w:tab/>
        </w:r>
        <w:r>
          <w:rPr>
            <w:noProof/>
            <w:webHidden/>
          </w:rPr>
          <w:fldChar w:fldCharType="begin"/>
        </w:r>
        <w:r>
          <w:rPr>
            <w:noProof/>
            <w:webHidden/>
          </w:rPr>
          <w:instrText xml:space="preserve"> PAGEREF _Toc7609289 \h </w:instrText>
        </w:r>
        <w:r>
          <w:rPr>
            <w:noProof/>
            <w:webHidden/>
          </w:rPr>
        </w:r>
        <w:r>
          <w:rPr>
            <w:noProof/>
            <w:webHidden/>
          </w:rPr>
          <w:fldChar w:fldCharType="separate"/>
        </w:r>
        <w:r>
          <w:rPr>
            <w:noProof/>
            <w:webHidden/>
          </w:rPr>
          <w:t>28</w:t>
        </w:r>
        <w:r>
          <w:rPr>
            <w:noProof/>
            <w:webHidden/>
          </w:rPr>
          <w:fldChar w:fldCharType="end"/>
        </w:r>
      </w:hyperlink>
    </w:p>
    <w:p w14:paraId="3B3496EA" w14:textId="2C2C700F" w:rsidR="00A75929" w:rsidRPr="002A111A" w:rsidRDefault="00D1387C" w:rsidP="00B446F1">
      <w:pPr>
        <w:rPr>
          <w:rFonts w:eastAsiaTheme="majorEastAsia" w:cs="Arial"/>
          <w:b/>
          <w:bCs/>
          <w:szCs w:val="24"/>
          <w:lang w:bidi="en-US"/>
        </w:rPr>
      </w:pPr>
      <w:r w:rsidRPr="002A111A">
        <w:rPr>
          <w:rFonts w:cs="Arial"/>
          <w:szCs w:val="24"/>
        </w:rPr>
        <w:fldChar w:fldCharType="end"/>
      </w:r>
      <w:r w:rsidR="00A75929" w:rsidRPr="002A111A">
        <w:rPr>
          <w:rFonts w:cs="Arial"/>
          <w:szCs w:val="24"/>
        </w:rPr>
        <w:br w:type="page"/>
      </w:r>
      <w:bookmarkStart w:id="3" w:name="_GoBack"/>
      <w:bookmarkEnd w:id="3"/>
    </w:p>
    <w:p w14:paraId="6B8E7402" w14:textId="77777777" w:rsidR="008E4ACD" w:rsidRPr="002A111A" w:rsidRDefault="008E4ACD" w:rsidP="00B446F1">
      <w:pPr>
        <w:pStyle w:val="Heading1"/>
        <w:numPr>
          <w:ilvl w:val="0"/>
          <w:numId w:val="0"/>
        </w:numPr>
        <w:rPr>
          <w:rFonts w:cs="Arial"/>
          <w:szCs w:val="24"/>
        </w:rPr>
      </w:pPr>
      <w:bookmarkStart w:id="4" w:name="_Toc529874055"/>
      <w:bookmarkStart w:id="5" w:name="_Toc7609256"/>
      <w:r w:rsidRPr="002A111A">
        <w:rPr>
          <w:rFonts w:cs="Arial"/>
          <w:szCs w:val="24"/>
        </w:rPr>
        <w:lastRenderedPageBreak/>
        <w:t>PART A</w:t>
      </w:r>
      <w:bookmarkEnd w:id="0"/>
      <w:r w:rsidR="00622FC0" w:rsidRPr="002A111A">
        <w:rPr>
          <w:rFonts w:cs="Arial"/>
          <w:szCs w:val="24"/>
        </w:rPr>
        <w:t xml:space="preserve"> – F</w:t>
      </w:r>
      <w:r w:rsidRPr="002A111A">
        <w:rPr>
          <w:rFonts w:cs="Arial"/>
          <w:szCs w:val="24"/>
        </w:rPr>
        <w:t xml:space="preserve">actual </w:t>
      </w:r>
      <w:r w:rsidR="00A75929" w:rsidRPr="002A111A">
        <w:rPr>
          <w:rFonts w:cs="Arial"/>
          <w:szCs w:val="24"/>
        </w:rPr>
        <w:t>i</w:t>
      </w:r>
      <w:r w:rsidRPr="002A111A">
        <w:rPr>
          <w:rFonts w:cs="Arial"/>
          <w:szCs w:val="24"/>
        </w:rPr>
        <w:t xml:space="preserve">nformation and </w:t>
      </w:r>
      <w:r w:rsidR="00A75929" w:rsidRPr="002A111A">
        <w:rPr>
          <w:rFonts w:cs="Arial"/>
          <w:szCs w:val="24"/>
        </w:rPr>
        <w:t>s</w:t>
      </w:r>
      <w:r w:rsidR="00ED6A9A" w:rsidRPr="002A111A">
        <w:rPr>
          <w:rFonts w:cs="Arial"/>
          <w:szCs w:val="24"/>
        </w:rPr>
        <w:t xml:space="preserve">tatistical </w:t>
      </w:r>
      <w:r w:rsidR="00A75929" w:rsidRPr="002A111A">
        <w:rPr>
          <w:rFonts w:cs="Arial"/>
          <w:szCs w:val="24"/>
        </w:rPr>
        <w:t>d</w:t>
      </w:r>
      <w:r w:rsidRPr="002A111A">
        <w:rPr>
          <w:rFonts w:cs="Arial"/>
          <w:szCs w:val="24"/>
        </w:rPr>
        <w:t>ata</w:t>
      </w:r>
      <w:bookmarkEnd w:id="4"/>
      <w:bookmarkEnd w:id="5"/>
    </w:p>
    <w:p w14:paraId="53056B3C" w14:textId="77777777" w:rsidR="008E4ACD" w:rsidRPr="002A111A" w:rsidRDefault="008E4ACD" w:rsidP="00B446F1">
      <w:pPr>
        <w:rPr>
          <w:rFonts w:cs="Arial"/>
          <w:szCs w:val="24"/>
        </w:rPr>
      </w:pPr>
    </w:p>
    <w:p w14:paraId="11EFB60A" w14:textId="77777777" w:rsidR="008E4ACD" w:rsidRPr="002A111A" w:rsidRDefault="008E4ACD" w:rsidP="00B446F1">
      <w:pPr>
        <w:pStyle w:val="Heading1"/>
        <w:rPr>
          <w:rFonts w:cs="Arial"/>
          <w:szCs w:val="24"/>
        </w:rPr>
      </w:pPr>
      <w:bookmarkStart w:id="6" w:name="_Toc529874056"/>
      <w:bookmarkStart w:id="7" w:name="_Toc7609257"/>
      <w:bookmarkEnd w:id="1"/>
      <w:bookmarkEnd w:id="2"/>
      <w:r w:rsidRPr="002A111A">
        <w:rPr>
          <w:rFonts w:cs="Arial"/>
          <w:szCs w:val="24"/>
        </w:rPr>
        <w:t>Current situation and direction of travel</w:t>
      </w:r>
      <w:bookmarkEnd w:id="6"/>
      <w:bookmarkEnd w:id="7"/>
    </w:p>
    <w:p w14:paraId="34275DEC" w14:textId="77777777" w:rsidR="008E4ACD" w:rsidRPr="002A111A" w:rsidRDefault="008E4ACD" w:rsidP="00B446F1">
      <w:pPr>
        <w:rPr>
          <w:rFonts w:cs="Arial"/>
          <w:szCs w:val="24"/>
        </w:rPr>
      </w:pPr>
    </w:p>
    <w:p w14:paraId="654AFABA" w14:textId="29C6CB3C" w:rsidR="008E4ACD" w:rsidRPr="002A111A" w:rsidRDefault="008E4ACD" w:rsidP="00B446F1">
      <w:pPr>
        <w:pStyle w:val="Heading2"/>
        <w:rPr>
          <w:rFonts w:cs="Arial"/>
          <w:szCs w:val="24"/>
        </w:rPr>
      </w:pPr>
      <w:bookmarkStart w:id="8" w:name="_Toc529874057"/>
      <w:bookmarkStart w:id="9" w:name="_Toc7609258"/>
      <w:r w:rsidRPr="002A111A">
        <w:rPr>
          <w:rFonts w:cs="Arial"/>
          <w:szCs w:val="24"/>
        </w:rPr>
        <w:t xml:space="preserve">Numbers and proportions of disabled children and adults residing in institutional care or </w:t>
      </w:r>
      <w:r w:rsidR="00A75929" w:rsidRPr="002A111A">
        <w:rPr>
          <w:rFonts w:cs="Arial"/>
          <w:szCs w:val="24"/>
        </w:rPr>
        <w:t>community-based</w:t>
      </w:r>
      <w:r w:rsidRPr="002A111A">
        <w:rPr>
          <w:rFonts w:cs="Arial"/>
          <w:szCs w:val="24"/>
        </w:rPr>
        <w:t xml:space="preserve"> settings</w:t>
      </w:r>
      <w:bookmarkEnd w:id="8"/>
      <w:bookmarkEnd w:id="9"/>
    </w:p>
    <w:p w14:paraId="0881A32A" w14:textId="77777777" w:rsidR="00B24137" w:rsidRPr="002A111A" w:rsidRDefault="00B24137" w:rsidP="00B446F1">
      <w:pPr>
        <w:rPr>
          <w:rFonts w:cs="Arial"/>
          <w:szCs w:val="24"/>
          <w:lang w:bidi="en-US"/>
        </w:rPr>
      </w:pPr>
    </w:p>
    <w:p w14:paraId="44FFA6A8" w14:textId="3CDB5A9F" w:rsidR="008E4ACD" w:rsidRPr="002A111A" w:rsidRDefault="008E4ACD" w:rsidP="00B446F1">
      <w:pPr>
        <w:pStyle w:val="Heading3"/>
        <w:rPr>
          <w:rFonts w:cs="Arial"/>
          <w:b/>
          <w:szCs w:val="24"/>
        </w:rPr>
      </w:pPr>
      <w:r w:rsidRPr="002A111A">
        <w:rPr>
          <w:rFonts w:cs="Arial"/>
          <w:szCs w:val="24"/>
        </w:rPr>
        <w:t>Current figures</w:t>
      </w:r>
    </w:p>
    <w:p w14:paraId="1A720326" w14:textId="77777777" w:rsidR="005300A8" w:rsidRPr="002A111A" w:rsidRDefault="005300A8" w:rsidP="00B446F1">
      <w:pPr>
        <w:rPr>
          <w:rFonts w:cs="Arial"/>
          <w:szCs w:val="24"/>
        </w:rPr>
      </w:pPr>
    </w:p>
    <w:p w14:paraId="5FFECE22" w14:textId="464628D5" w:rsidR="00275A32" w:rsidRPr="002A111A" w:rsidRDefault="00275A32" w:rsidP="00B446F1">
      <w:pPr>
        <w:rPr>
          <w:rFonts w:cs="Arial"/>
          <w:szCs w:val="24"/>
        </w:rPr>
      </w:pPr>
      <w:r w:rsidRPr="002A111A">
        <w:rPr>
          <w:rFonts w:cs="Arial"/>
          <w:szCs w:val="24"/>
        </w:rPr>
        <w:t>Long-term care in Spain is characterized by low intensity of residential care, high levels of informal care, and low level of community care</w:t>
      </w:r>
      <w:r w:rsidR="00B446F1" w:rsidRPr="002A111A">
        <w:rPr>
          <w:rFonts w:cs="Arial"/>
          <w:szCs w:val="24"/>
        </w:rPr>
        <w:t>.</w:t>
      </w:r>
      <w:r w:rsidRPr="002A111A">
        <w:rPr>
          <w:rStyle w:val="FootnoteReference"/>
          <w:rFonts w:cs="Arial"/>
          <w:sz w:val="24"/>
          <w:szCs w:val="24"/>
        </w:rPr>
        <w:footnoteReference w:id="1"/>
      </w:r>
      <w:r w:rsidRPr="002A111A">
        <w:rPr>
          <w:rFonts w:cs="Arial"/>
          <w:szCs w:val="24"/>
        </w:rPr>
        <w:t xml:space="preserve"> Data from the largest and most recent survey on the situation of people with disabilities in </w:t>
      </w:r>
      <w:r w:rsidR="000B7069" w:rsidRPr="002A111A">
        <w:rPr>
          <w:rFonts w:cs="Arial"/>
          <w:szCs w:val="24"/>
        </w:rPr>
        <w:t>Spain (</w:t>
      </w:r>
      <w:r w:rsidRPr="002A111A">
        <w:rPr>
          <w:rFonts w:cs="Arial"/>
          <w:szCs w:val="24"/>
        </w:rPr>
        <w:t>EDA 2008</w:t>
      </w:r>
      <w:r w:rsidR="00B446F1" w:rsidRPr="002A111A">
        <w:rPr>
          <w:rFonts w:cs="Arial"/>
          <w:szCs w:val="24"/>
        </w:rPr>
        <w:t>)</w:t>
      </w:r>
      <w:r w:rsidR="00E753DD" w:rsidRPr="002A111A">
        <w:rPr>
          <w:rStyle w:val="FootnoteReference"/>
          <w:rFonts w:cs="Arial"/>
          <w:sz w:val="24"/>
          <w:szCs w:val="24"/>
        </w:rPr>
        <w:footnoteReference w:id="2"/>
      </w:r>
      <w:r w:rsidRPr="002A111A">
        <w:rPr>
          <w:rFonts w:cs="Arial"/>
          <w:szCs w:val="24"/>
        </w:rPr>
        <w:t xml:space="preserve"> estimated that 3.85 million people with disabilities reside in homes and around 269</w:t>
      </w:r>
      <w:r w:rsidR="008F6915" w:rsidRPr="002A111A">
        <w:rPr>
          <w:rFonts w:cs="Arial"/>
          <w:szCs w:val="24"/>
        </w:rPr>
        <w:t>,</w:t>
      </w:r>
      <w:r w:rsidRPr="002A111A">
        <w:rPr>
          <w:rFonts w:cs="Arial"/>
          <w:szCs w:val="24"/>
        </w:rPr>
        <w:t>000 people with disabilities live in institutions. That is, although less than 7</w:t>
      </w:r>
      <w:r w:rsidR="00B446F1" w:rsidRPr="002A111A">
        <w:rPr>
          <w:rFonts w:cs="Arial"/>
          <w:szCs w:val="24"/>
        </w:rPr>
        <w:t xml:space="preserve"> </w:t>
      </w:r>
      <w:r w:rsidRPr="002A111A">
        <w:rPr>
          <w:rFonts w:cs="Arial"/>
          <w:szCs w:val="24"/>
        </w:rPr>
        <w:t>% of Spanish people with disabilities live in institutions, in absolute numbers, almost 300</w:t>
      </w:r>
      <w:r w:rsidR="008F6915" w:rsidRPr="002A111A">
        <w:rPr>
          <w:rFonts w:cs="Arial"/>
          <w:szCs w:val="24"/>
        </w:rPr>
        <w:t>,</w:t>
      </w:r>
      <w:r w:rsidRPr="002A111A">
        <w:rPr>
          <w:rFonts w:cs="Arial"/>
          <w:szCs w:val="24"/>
        </w:rPr>
        <w:t>000 people live in institutions. Out of this total, 60.5</w:t>
      </w:r>
      <w:r w:rsidR="00B446F1" w:rsidRPr="002A111A">
        <w:rPr>
          <w:rFonts w:cs="Arial"/>
          <w:szCs w:val="24"/>
        </w:rPr>
        <w:t xml:space="preserve"> </w:t>
      </w:r>
      <w:r w:rsidRPr="002A111A">
        <w:rPr>
          <w:rFonts w:cs="Arial"/>
          <w:szCs w:val="24"/>
        </w:rPr>
        <w:t>% are older than 80 years of age</w:t>
      </w:r>
      <w:r w:rsidR="00B446F1" w:rsidRPr="002A111A">
        <w:rPr>
          <w:rFonts w:cs="Arial"/>
          <w:szCs w:val="24"/>
        </w:rPr>
        <w:t>.</w:t>
      </w:r>
      <w:r w:rsidRPr="002A111A">
        <w:rPr>
          <w:rStyle w:val="FootnoteReference"/>
          <w:rFonts w:cs="Arial"/>
          <w:sz w:val="24"/>
          <w:szCs w:val="24"/>
        </w:rPr>
        <w:footnoteReference w:id="3"/>
      </w:r>
      <w:r w:rsidRPr="002A111A">
        <w:rPr>
          <w:rFonts w:cs="Arial"/>
          <w:szCs w:val="24"/>
        </w:rPr>
        <w:t xml:space="preserve"> </w:t>
      </w:r>
      <w:r w:rsidR="00E6431F" w:rsidRPr="002A111A">
        <w:rPr>
          <w:rFonts w:cs="Arial"/>
          <w:szCs w:val="24"/>
        </w:rPr>
        <w:t>Of the group living in in institutions, 222,260 are over 65 years old and of these 162,894 are over 80 years old</w:t>
      </w:r>
      <w:r w:rsidR="00D9750C" w:rsidRPr="002A111A">
        <w:rPr>
          <w:rFonts w:cs="Arial"/>
          <w:szCs w:val="24"/>
        </w:rPr>
        <w:t>.</w:t>
      </w:r>
      <w:r w:rsidR="00E6431F" w:rsidRPr="002A111A">
        <w:rPr>
          <w:rFonts w:cs="Arial"/>
          <w:szCs w:val="24"/>
        </w:rPr>
        <w:t xml:space="preserve"> </w:t>
      </w:r>
      <w:r w:rsidRPr="002A111A">
        <w:rPr>
          <w:rFonts w:cs="Arial"/>
          <w:szCs w:val="24"/>
        </w:rPr>
        <w:t xml:space="preserve">If we </w:t>
      </w:r>
      <w:r w:rsidR="00EE2C62" w:rsidRPr="002A111A">
        <w:rPr>
          <w:rFonts w:cs="Arial"/>
          <w:szCs w:val="24"/>
        </w:rPr>
        <w:t>analyse</w:t>
      </w:r>
      <w:r w:rsidRPr="002A111A">
        <w:rPr>
          <w:rFonts w:cs="Arial"/>
          <w:szCs w:val="24"/>
        </w:rPr>
        <w:t xml:space="preserve"> separately those who live in residences for the elderly, in </w:t>
      </w:r>
      <w:r w:rsidR="00EE2C62" w:rsidRPr="002A111A">
        <w:rPr>
          <w:rFonts w:cs="Arial"/>
          <w:szCs w:val="24"/>
        </w:rPr>
        <w:t>centres</w:t>
      </w:r>
      <w:r w:rsidRPr="002A111A">
        <w:rPr>
          <w:rFonts w:cs="Arial"/>
          <w:szCs w:val="24"/>
        </w:rPr>
        <w:t xml:space="preserve"> for people with disabilities, and in psychiatric or geriatric </w:t>
      </w:r>
      <w:r w:rsidR="00EE2C62" w:rsidRPr="002A111A">
        <w:rPr>
          <w:rFonts w:cs="Arial"/>
          <w:szCs w:val="24"/>
        </w:rPr>
        <w:t>centres</w:t>
      </w:r>
      <w:r w:rsidRPr="002A111A">
        <w:rPr>
          <w:rFonts w:cs="Arial"/>
          <w:szCs w:val="24"/>
        </w:rPr>
        <w:t>, the number of people with disabilities who live in a</w:t>
      </w:r>
      <w:r w:rsidR="002D1B28" w:rsidRPr="002A111A">
        <w:rPr>
          <w:rFonts w:cs="Arial"/>
          <w:szCs w:val="24"/>
        </w:rPr>
        <w:t>n</w:t>
      </w:r>
      <w:r w:rsidRPr="002A111A">
        <w:rPr>
          <w:rFonts w:cs="Arial"/>
          <w:szCs w:val="24"/>
        </w:rPr>
        <w:t xml:space="preserve"> institution is almost 36</w:t>
      </w:r>
      <w:r w:rsidR="008F6915" w:rsidRPr="002A111A">
        <w:rPr>
          <w:rFonts w:cs="Arial"/>
          <w:szCs w:val="24"/>
        </w:rPr>
        <w:t>,</w:t>
      </w:r>
      <w:r w:rsidRPr="002A111A">
        <w:rPr>
          <w:rFonts w:cs="Arial"/>
          <w:szCs w:val="24"/>
        </w:rPr>
        <w:t>000 (</w:t>
      </w:r>
      <w:r w:rsidR="0059741E" w:rsidRPr="002A111A">
        <w:rPr>
          <w:rFonts w:cs="Arial"/>
          <w:szCs w:val="24"/>
        </w:rPr>
        <w:t>0.9</w:t>
      </w:r>
      <w:r w:rsidR="00B446F1" w:rsidRPr="002A111A">
        <w:rPr>
          <w:rFonts w:cs="Arial"/>
          <w:szCs w:val="24"/>
        </w:rPr>
        <w:t xml:space="preserve"> </w:t>
      </w:r>
      <w:r w:rsidR="0059741E" w:rsidRPr="002A111A">
        <w:rPr>
          <w:rFonts w:cs="Arial"/>
          <w:szCs w:val="24"/>
        </w:rPr>
        <w:t xml:space="preserve">% of that 3.85 million people with disabilities ), and </w:t>
      </w:r>
      <w:r w:rsidRPr="002A111A">
        <w:rPr>
          <w:rFonts w:cs="Arial"/>
          <w:szCs w:val="24"/>
        </w:rPr>
        <w:t>91</w:t>
      </w:r>
      <w:r w:rsidR="00B446F1" w:rsidRPr="002A111A">
        <w:rPr>
          <w:rFonts w:cs="Arial"/>
          <w:szCs w:val="24"/>
        </w:rPr>
        <w:t xml:space="preserve"> </w:t>
      </w:r>
      <w:r w:rsidRPr="002A111A">
        <w:rPr>
          <w:rFonts w:cs="Arial"/>
          <w:szCs w:val="24"/>
        </w:rPr>
        <w:t xml:space="preserve">% </w:t>
      </w:r>
      <w:r w:rsidR="0059741E" w:rsidRPr="002A111A">
        <w:rPr>
          <w:rFonts w:cs="Arial"/>
          <w:szCs w:val="24"/>
        </w:rPr>
        <w:t xml:space="preserve">of them have </w:t>
      </w:r>
      <w:r w:rsidRPr="002A111A">
        <w:rPr>
          <w:rFonts w:cs="Arial"/>
          <w:szCs w:val="24"/>
        </w:rPr>
        <w:t>intellectual disabilities, in contrast to approximately 216</w:t>
      </w:r>
      <w:r w:rsidR="008F6915" w:rsidRPr="002A111A">
        <w:rPr>
          <w:rFonts w:cs="Arial"/>
          <w:szCs w:val="24"/>
        </w:rPr>
        <w:t>,</w:t>
      </w:r>
      <w:r w:rsidRPr="002A111A">
        <w:rPr>
          <w:rFonts w:cs="Arial"/>
          <w:szCs w:val="24"/>
        </w:rPr>
        <w:t>000 people who live in institutions for the elderly, and approximately 17</w:t>
      </w:r>
      <w:r w:rsidR="008F6915" w:rsidRPr="002A111A">
        <w:rPr>
          <w:rFonts w:cs="Arial"/>
          <w:szCs w:val="24"/>
        </w:rPr>
        <w:t>,</w:t>
      </w:r>
      <w:r w:rsidRPr="002A111A">
        <w:rPr>
          <w:rFonts w:cs="Arial"/>
          <w:szCs w:val="24"/>
        </w:rPr>
        <w:t>000 people who live in psychiatric facilities</w:t>
      </w:r>
      <w:r w:rsidR="00B446F1" w:rsidRPr="002A111A">
        <w:rPr>
          <w:rFonts w:cs="Arial"/>
          <w:szCs w:val="24"/>
        </w:rPr>
        <w:t>.</w:t>
      </w:r>
      <w:r w:rsidRPr="002A111A">
        <w:rPr>
          <w:rStyle w:val="FootnoteReference"/>
          <w:rFonts w:cs="Arial"/>
          <w:sz w:val="24"/>
          <w:szCs w:val="24"/>
        </w:rPr>
        <w:footnoteReference w:id="4"/>
      </w:r>
      <w:r w:rsidR="00D40B52" w:rsidRPr="002A111A">
        <w:rPr>
          <w:rFonts w:cs="Arial"/>
          <w:szCs w:val="24"/>
        </w:rPr>
        <w:t xml:space="preserve"> In absolute numbers, 20</w:t>
      </w:r>
      <w:r w:rsidR="00B446F1" w:rsidRPr="002A111A">
        <w:rPr>
          <w:rFonts w:cs="Arial"/>
          <w:szCs w:val="24"/>
        </w:rPr>
        <w:t xml:space="preserve"> </w:t>
      </w:r>
      <w:r w:rsidR="00D40B52" w:rsidRPr="002A111A">
        <w:rPr>
          <w:rFonts w:cs="Arial"/>
          <w:szCs w:val="24"/>
        </w:rPr>
        <w:t>% of people with intellectual disabilities live in an institution</w:t>
      </w:r>
      <w:r w:rsidR="003E438E" w:rsidRPr="002A111A">
        <w:rPr>
          <w:rFonts w:cs="Arial"/>
          <w:szCs w:val="24"/>
        </w:rPr>
        <w:t>.</w:t>
      </w:r>
      <w:r w:rsidR="00D40B52" w:rsidRPr="002A111A">
        <w:rPr>
          <w:rStyle w:val="FootnoteReference"/>
          <w:rFonts w:cs="Arial"/>
          <w:sz w:val="24"/>
          <w:szCs w:val="24"/>
        </w:rPr>
        <w:footnoteReference w:id="5"/>
      </w:r>
    </w:p>
    <w:p w14:paraId="54737469" w14:textId="77777777" w:rsidR="0099111A" w:rsidRPr="002A111A" w:rsidRDefault="0099111A" w:rsidP="00B446F1">
      <w:pPr>
        <w:rPr>
          <w:rFonts w:cs="Arial"/>
          <w:szCs w:val="24"/>
        </w:rPr>
      </w:pPr>
    </w:p>
    <w:p w14:paraId="4D36CE56" w14:textId="57D69D17" w:rsidR="00077016" w:rsidRPr="002A111A" w:rsidRDefault="00911B6B" w:rsidP="00B446F1">
      <w:pPr>
        <w:rPr>
          <w:rFonts w:cs="Arial"/>
          <w:szCs w:val="24"/>
        </w:rPr>
      </w:pPr>
      <w:r w:rsidRPr="002A111A">
        <w:rPr>
          <w:rFonts w:cs="Arial"/>
          <w:szCs w:val="24"/>
        </w:rPr>
        <w:t>T</w:t>
      </w:r>
      <w:r w:rsidR="00077016" w:rsidRPr="002A111A">
        <w:rPr>
          <w:rFonts w:cs="Arial"/>
          <w:szCs w:val="24"/>
        </w:rPr>
        <w:t>he document “The right to independent life and its realization in Spain: a distant horizon for people with disabilities?”</w:t>
      </w:r>
      <w:r w:rsidR="00077016" w:rsidRPr="002A111A">
        <w:rPr>
          <w:rStyle w:val="FootnoteReference"/>
          <w:rFonts w:cs="Arial"/>
          <w:sz w:val="24"/>
          <w:szCs w:val="24"/>
        </w:rPr>
        <w:footnoteReference w:id="6"/>
      </w:r>
      <w:r w:rsidR="00077016" w:rsidRPr="002A111A">
        <w:rPr>
          <w:rFonts w:cs="Arial"/>
          <w:szCs w:val="24"/>
        </w:rPr>
        <w:t xml:space="preserve"> </w:t>
      </w:r>
      <w:r w:rsidRPr="002A111A">
        <w:rPr>
          <w:rFonts w:cs="Arial"/>
          <w:szCs w:val="24"/>
        </w:rPr>
        <w:t xml:space="preserve">states </w:t>
      </w:r>
      <w:r w:rsidR="00077016" w:rsidRPr="002A111A">
        <w:rPr>
          <w:rFonts w:cs="Arial"/>
          <w:szCs w:val="24"/>
        </w:rPr>
        <w:t xml:space="preserve">there is no updated data about the entire population with disabilities. There has not been a survey like AGE since 2008 but we </w:t>
      </w:r>
      <w:r w:rsidR="00077016" w:rsidRPr="002A111A">
        <w:rPr>
          <w:rFonts w:cs="Arial"/>
          <w:szCs w:val="24"/>
        </w:rPr>
        <w:lastRenderedPageBreak/>
        <w:t xml:space="preserve">can </w:t>
      </w:r>
      <w:r w:rsidR="0020410D" w:rsidRPr="002A111A">
        <w:rPr>
          <w:rFonts w:cs="Arial"/>
          <w:szCs w:val="24"/>
        </w:rPr>
        <w:t>analyse</w:t>
      </w:r>
      <w:r w:rsidR="00077016" w:rsidRPr="002A111A">
        <w:rPr>
          <w:rFonts w:cs="Arial"/>
          <w:szCs w:val="24"/>
        </w:rPr>
        <w:t xml:space="preserve"> the statistics of the System for Autonomy and Care for Dependency. In the report published on </w:t>
      </w:r>
      <w:r w:rsidR="00B446F1" w:rsidRPr="002A111A">
        <w:rPr>
          <w:rFonts w:cs="Arial"/>
          <w:szCs w:val="24"/>
        </w:rPr>
        <w:t xml:space="preserve">31 </w:t>
      </w:r>
      <w:r w:rsidR="00A33C11" w:rsidRPr="002A111A">
        <w:rPr>
          <w:rFonts w:cs="Arial"/>
          <w:szCs w:val="24"/>
        </w:rPr>
        <w:t>January 2019</w:t>
      </w:r>
      <w:r w:rsidR="005E4C6F" w:rsidRPr="002A111A">
        <w:rPr>
          <w:rStyle w:val="FootnoteReference"/>
          <w:rFonts w:cs="Arial"/>
          <w:sz w:val="24"/>
          <w:szCs w:val="24"/>
        </w:rPr>
        <w:footnoteReference w:id="7"/>
      </w:r>
      <w:r w:rsidR="00077016" w:rsidRPr="002A111A">
        <w:rPr>
          <w:rFonts w:cs="Arial"/>
          <w:szCs w:val="24"/>
        </w:rPr>
        <w:t xml:space="preserve"> we see that of the </w:t>
      </w:r>
      <w:r w:rsidR="00A33C11" w:rsidRPr="002A111A">
        <w:rPr>
          <w:rFonts w:cs="Arial"/>
          <w:szCs w:val="24"/>
        </w:rPr>
        <w:t>1</w:t>
      </w:r>
      <w:r w:rsidR="00B446F1" w:rsidRPr="002A111A">
        <w:rPr>
          <w:rFonts w:cs="Arial"/>
          <w:szCs w:val="24"/>
        </w:rPr>
        <w:t>,</w:t>
      </w:r>
      <w:r w:rsidR="00A33C11" w:rsidRPr="002A111A">
        <w:rPr>
          <w:rFonts w:cs="Arial"/>
          <w:szCs w:val="24"/>
        </w:rPr>
        <w:t>057</w:t>
      </w:r>
      <w:r w:rsidR="00B446F1" w:rsidRPr="002A111A">
        <w:rPr>
          <w:rFonts w:cs="Arial"/>
          <w:szCs w:val="24"/>
        </w:rPr>
        <w:t>,</w:t>
      </w:r>
      <w:r w:rsidR="00A33C11" w:rsidRPr="002A111A">
        <w:rPr>
          <w:rFonts w:cs="Arial"/>
          <w:szCs w:val="24"/>
        </w:rPr>
        <w:t xml:space="preserve">190 </w:t>
      </w:r>
      <w:r w:rsidR="00077016" w:rsidRPr="002A111A">
        <w:rPr>
          <w:rFonts w:cs="Arial"/>
          <w:szCs w:val="24"/>
        </w:rPr>
        <w:t xml:space="preserve">beneficiaries of the benefit system, </w:t>
      </w:r>
      <w:r w:rsidR="00A33C11" w:rsidRPr="002A111A">
        <w:rPr>
          <w:rFonts w:cs="Arial"/>
          <w:szCs w:val="24"/>
        </w:rPr>
        <w:t xml:space="preserve">166,658 </w:t>
      </w:r>
      <w:r w:rsidR="00077016" w:rsidRPr="002A111A">
        <w:rPr>
          <w:rFonts w:cs="Arial"/>
          <w:szCs w:val="24"/>
        </w:rPr>
        <w:t>(</w:t>
      </w:r>
      <w:r w:rsidR="00A33C11" w:rsidRPr="002A111A">
        <w:rPr>
          <w:rFonts w:cs="Arial"/>
          <w:szCs w:val="24"/>
        </w:rPr>
        <w:t>12.58</w:t>
      </w:r>
      <w:r w:rsidR="00A33C11" w:rsidRPr="002A111A" w:rsidDel="00A33C11">
        <w:rPr>
          <w:rFonts w:cs="Arial"/>
          <w:szCs w:val="24"/>
        </w:rPr>
        <w:t xml:space="preserve"> </w:t>
      </w:r>
      <w:r w:rsidR="00077016" w:rsidRPr="002A111A">
        <w:rPr>
          <w:rFonts w:cs="Arial"/>
          <w:szCs w:val="24"/>
        </w:rPr>
        <w:t xml:space="preserve">%) </w:t>
      </w:r>
      <w:r w:rsidRPr="002A111A">
        <w:rPr>
          <w:rFonts w:cs="Arial"/>
          <w:szCs w:val="24"/>
        </w:rPr>
        <w:t xml:space="preserve">lived </w:t>
      </w:r>
      <w:r w:rsidR="00077016" w:rsidRPr="002A111A">
        <w:rPr>
          <w:rFonts w:cs="Arial"/>
          <w:szCs w:val="24"/>
        </w:rPr>
        <w:t xml:space="preserve">in </w:t>
      </w:r>
      <w:r w:rsidRPr="002A111A">
        <w:rPr>
          <w:rFonts w:cs="Arial"/>
          <w:szCs w:val="24"/>
        </w:rPr>
        <w:t>a</w:t>
      </w:r>
      <w:r w:rsidR="00A33C11" w:rsidRPr="002A111A">
        <w:rPr>
          <w:rFonts w:cs="Arial"/>
          <w:szCs w:val="24"/>
        </w:rPr>
        <w:t>n</w:t>
      </w:r>
      <w:r w:rsidRPr="002A111A">
        <w:rPr>
          <w:rFonts w:cs="Arial"/>
          <w:szCs w:val="24"/>
        </w:rPr>
        <w:t xml:space="preserve"> institution</w:t>
      </w:r>
      <w:r w:rsidR="00077016" w:rsidRPr="002A111A">
        <w:rPr>
          <w:rFonts w:cs="Arial"/>
          <w:szCs w:val="24"/>
        </w:rPr>
        <w:t>. In previous years the figures were as follows</w:t>
      </w:r>
      <w:r w:rsidR="00987341" w:rsidRPr="002A111A">
        <w:rPr>
          <w:rFonts w:cs="Arial"/>
          <w:szCs w:val="24"/>
        </w:rPr>
        <w:t xml:space="preserve"> (see Table 1)</w:t>
      </w:r>
      <w:r w:rsidR="003C51B1" w:rsidRPr="002A111A">
        <w:rPr>
          <w:rFonts w:cs="Arial"/>
          <w:szCs w:val="24"/>
        </w:rPr>
        <w:t>.</w:t>
      </w:r>
    </w:p>
    <w:p w14:paraId="7FBB65E5" w14:textId="77777777" w:rsidR="00A00966" w:rsidRPr="002A111A" w:rsidRDefault="00A00966" w:rsidP="00B446F1">
      <w:pPr>
        <w:rPr>
          <w:rFonts w:cs="Arial"/>
          <w:szCs w:val="24"/>
        </w:rPr>
      </w:pPr>
    </w:p>
    <w:p w14:paraId="4FF69E78" w14:textId="49700434" w:rsidR="00987341" w:rsidRPr="002A111A" w:rsidRDefault="00987341" w:rsidP="00B446F1">
      <w:pPr>
        <w:rPr>
          <w:rFonts w:cs="Arial"/>
          <w:szCs w:val="24"/>
        </w:rPr>
      </w:pPr>
      <w:r w:rsidRPr="002A111A">
        <w:rPr>
          <w:rFonts w:cs="Arial"/>
          <w:szCs w:val="24"/>
        </w:rPr>
        <w:t>Table 1. Percentage of people living in institutions</w:t>
      </w:r>
    </w:p>
    <w:tbl>
      <w:tblPr>
        <w:tblStyle w:val="TableGrid"/>
        <w:tblW w:w="5086" w:type="pct"/>
        <w:tblLook w:val="04A0" w:firstRow="1" w:lastRow="0" w:firstColumn="1" w:lastColumn="0" w:noHBand="0" w:noVBand="1"/>
      </w:tblPr>
      <w:tblGrid>
        <w:gridCol w:w="2405"/>
        <w:gridCol w:w="2835"/>
        <w:gridCol w:w="2269"/>
        <w:gridCol w:w="1700"/>
      </w:tblGrid>
      <w:tr w:rsidR="00E540F6" w:rsidRPr="008B6471" w14:paraId="4696740F" w14:textId="77777777" w:rsidTr="008B6471">
        <w:tc>
          <w:tcPr>
            <w:tcW w:w="1306" w:type="pct"/>
          </w:tcPr>
          <w:p w14:paraId="114AF7A7" w14:textId="5DB8B592" w:rsidR="00E540F6" w:rsidRPr="008B6471" w:rsidRDefault="00E540F6" w:rsidP="00B446F1">
            <w:pPr>
              <w:jc w:val="left"/>
              <w:rPr>
                <w:rFonts w:cs="Arial"/>
                <w:b/>
                <w:sz w:val="22"/>
                <w:szCs w:val="24"/>
              </w:rPr>
            </w:pPr>
            <w:r w:rsidRPr="008B6471">
              <w:rPr>
                <w:rFonts w:cs="Arial"/>
                <w:b/>
                <w:sz w:val="22"/>
                <w:szCs w:val="24"/>
              </w:rPr>
              <w:t>Date</w:t>
            </w:r>
          </w:p>
        </w:tc>
        <w:tc>
          <w:tcPr>
            <w:tcW w:w="1539" w:type="pct"/>
          </w:tcPr>
          <w:p w14:paraId="040B6B2F" w14:textId="077BCA96" w:rsidR="00E540F6" w:rsidRPr="008B6471" w:rsidRDefault="00E540F6" w:rsidP="00B446F1">
            <w:pPr>
              <w:jc w:val="right"/>
              <w:rPr>
                <w:rFonts w:cs="Arial"/>
                <w:b/>
                <w:sz w:val="22"/>
                <w:szCs w:val="24"/>
              </w:rPr>
            </w:pPr>
            <w:r w:rsidRPr="008B6471">
              <w:rPr>
                <w:rFonts w:cs="Arial"/>
                <w:b/>
                <w:sz w:val="22"/>
                <w:szCs w:val="24"/>
              </w:rPr>
              <w:t>People living in institutions</w:t>
            </w:r>
          </w:p>
        </w:tc>
        <w:tc>
          <w:tcPr>
            <w:tcW w:w="1232" w:type="pct"/>
          </w:tcPr>
          <w:p w14:paraId="451B8F50" w14:textId="5D6F27CD" w:rsidR="00E540F6" w:rsidRPr="008B6471" w:rsidRDefault="00E540F6" w:rsidP="00B446F1">
            <w:pPr>
              <w:jc w:val="right"/>
              <w:rPr>
                <w:rFonts w:cs="Arial"/>
                <w:b/>
                <w:sz w:val="22"/>
                <w:szCs w:val="24"/>
              </w:rPr>
            </w:pPr>
            <w:r w:rsidRPr="008B6471">
              <w:rPr>
                <w:rFonts w:cs="Arial"/>
                <w:b/>
                <w:sz w:val="22"/>
                <w:szCs w:val="24"/>
              </w:rPr>
              <w:t>Total beneficiaries</w:t>
            </w:r>
          </w:p>
        </w:tc>
        <w:tc>
          <w:tcPr>
            <w:tcW w:w="923" w:type="pct"/>
          </w:tcPr>
          <w:p w14:paraId="4D55D477" w14:textId="4F70F73E" w:rsidR="00E540F6" w:rsidRPr="008B6471" w:rsidRDefault="008B6471" w:rsidP="00B446F1">
            <w:pPr>
              <w:jc w:val="right"/>
              <w:rPr>
                <w:rFonts w:cs="Arial"/>
                <w:b/>
                <w:sz w:val="22"/>
                <w:szCs w:val="24"/>
              </w:rPr>
            </w:pPr>
            <w:r>
              <w:rPr>
                <w:rFonts w:cs="Arial"/>
                <w:b/>
                <w:sz w:val="22"/>
                <w:szCs w:val="24"/>
              </w:rPr>
              <w:t>P</w:t>
            </w:r>
            <w:r w:rsidR="00E540F6" w:rsidRPr="008B6471">
              <w:rPr>
                <w:rFonts w:cs="Arial"/>
                <w:b/>
                <w:sz w:val="22"/>
                <w:szCs w:val="24"/>
              </w:rPr>
              <w:t>ercentage</w:t>
            </w:r>
          </w:p>
        </w:tc>
      </w:tr>
      <w:tr w:rsidR="00E540F6" w:rsidRPr="008B6471" w14:paraId="26ECAA79" w14:textId="77777777" w:rsidTr="008B6471">
        <w:tc>
          <w:tcPr>
            <w:tcW w:w="1306" w:type="pct"/>
          </w:tcPr>
          <w:p w14:paraId="14EF319A" w14:textId="0BAC0235" w:rsidR="00E540F6" w:rsidRPr="008B6471" w:rsidRDefault="00E540F6" w:rsidP="00B446F1">
            <w:pPr>
              <w:jc w:val="left"/>
              <w:rPr>
                <w:rFonts w:cs="Arial"/>
                <w:sz w:val="22"/>
                <w:szCs w:val="24"/>
              </w:rPr>
            </w:pPr>
            <w:r w:rsidRPr="008B6471">
              <w:rPr>
                <w:rFonts w:cs="Arial"/>
                <w:sz w:val="22"/>
                <w:szCs w:val="24"/>
              </w:rPr>
              <w:t>December 31, 2010</w:t>
            </w:r>
            <w:r w:rsidR="00422F48" w:rsidRPr="008B6471">
              <w:rPr>
                <w:rStyle w:val="FootnoteReference"/>
                <w:rFonts w:cs="Arial"/>
                <w:sz w:val="22"/>
                <w:szCs w:val="24"/>
              </w:rPr>
              <w:footnoteReference w:id="8"/>
            </w:r>
          </w:p>
        </w:tc>
        <w:tc>
          <w:tcPr>
            <w:tcW w:w="1539" w:type="pct"/>
          </w:tcPr>
          <w:p w14:paraId="374EA5BB" w14:textId="78E42066" w:rsidR="00422F48" w:rsidRPr="008B6471" w:rsidRDefault="00E540F6" w:rsidP="00B446F1">
            <w:pPr>
              <w:jc w:val="right"/>
              <w:rPr>
                <w:rFonts w:cs="Arial"/>
                <w:sz w:val="22"/>
                <w:szCs w:val="24"/>
              </w:rPr>
            </w:pPr>
            <w:r w:rsidRPr="008B6471">
              <w:rPr>
                <w:rFonts w:cs="Arial"/>
                <w:sz w:val="22"/>
                <w:szCs w:val="24"/>
              </w:rPr>
              <w:t>119,253</w:t>
            </w:r>
          </w:p>
        </w:tc>
        <w:tc>
          <w:tcPr>
            <w:tcW w:w="1232" w:type="pct"/>
          </w:tcPr>
          <w:p w14:paraId="5F38C708" w14:textId="50FC1ACC" w:rsidR="00E540F6" w:rsidRPr="008B6471" w:rsidRDefault="00E540F6" w:rsidP="00B446F1">
            <w:pPr>
              <w:jc w:val="right"/>
              <w:rPr>
                <w:rFonts w:cs="Arial"/>
                <w:sz w:val="22"/>
                <w:szCs w:val="24"/>
              </w:rPr>
            </w:pPr>
            <w:r w:rsidRPr="008B6471">
              <w:rPr>
                <w:rFonts w:cs="Arial"/>
                <w:sz w:val="22"/>
                <w:szCs w:val="24"/>
              </w:rPr>
              <w:t>654,499</w:t>
            </w:r>
          </w:p>
        </w:tc>
        <w:tc>
          <w:tcPr>
            <w:tcW w:w="923" w:type="pct"/>
          </w:tcPr>
          <w:p w14:paraId="20385E6B" w14:textId="41A57BBC" w:rsidR="00E540F6" w:rsidRPr="008B6471" w:rsidRDefault="00422F48" w:rsidP="00B446F1">
            <w:pPr>
              <w:jc w:val="right"/>
              <w:rPr>
                <w:rFonts w:cs="Arial"/>
                <w:sz w:val="22"/>
                <w:szCs w:val="24"/>
              </w:rPr>
            </w:pPr>
            <w:r w:rsidRPr="008B6471">
              <w:rPr>
                <w:rFonts w:cs="Arial"/>
                <w:sz w:val="22"/>
                <w:szCs w:val="24"/>
              </w:rPr>
              <w:t>15.27</w:t>
            </w:r>
            <w:r w:rsidR="00B446F1" w:rsidRPr="008B6471">
              <w:rPr>
                <w:rFonts w:cs="Arial"/>
                <w:sz w:val="22"/>
                <w:szCs w:val="24"/>
              </w:rPr>
              <w:t xml:space="preserve"> </w:t>
            </w:r>
            <w:r w:rsidR="00E540F6" w:rsidRPr="008B6471">
              <w:rPr>
                <w:rFonts w:cs="Arial"/>
                <w:sz w:val="22"/>
                <w:szCs w:val="24"/>
              </w:rPr>
              <w:t>%</w:t>
            </w:r>
          </w:p>
        </w:tc>
      </w:tr>
      <w:tr w:rsidR="00E540F6" w:rsidRPr="008B6471" w14:paraId="5856B557" w14:textId="77777777" w:rsidTr="008B6471">
        <w:tc>
          <w:tcPr>
            <w:tcW w:w="1306" w:type="pct"/>
          </w:tcPr>
          <w:p w14:paraId="6054B780" w14:textId="0E8FCC19" w:rsidR="00E540F6" w:rsidRPr="008B6471" w:rsidRDefault="00E540F6" w:rsidP="00B446F1">
            <w:pPr>
              <w:jc w:val="left"/>
              <w:rPr>
                <w:rFonts w:cs="Arial"/>
                <w:sz w:val="22"/>
                <w:szCs w:val="24"/>
              </w:rPr>
            </w:pPr>
            <w:r w:rsidRPr="008B6471">
              <w:rPr>
                <w:rFonts w:cs="Arial"/>
                <w:sz w:val="22"/>
                <w:szCs w:val="24"/>
              </w:rPr>
              <w:t>December 31, 2011</w:t>
            </w:r>
            <w:r w:rsidR="00422F48" w:rsidRPr="008B6471">
              <w:rPr>
                <w:rStyle w:val="FootnoteReference"/>
                <w:rFonts w:cs="Arial"/>
                <w:sz w:val="22"/>
                <w:szCs w:val="24"/>
              </w:rPr>
              <w:footnoteReference w:id="9"/>
            </w:r>
          </w:p>
        </w:tc>
        <w:tc>
          <w:tcPr>
            <w:tcW w:w="1539" w:type="pct"/>
          </w:tcPr>
          <w:p w14:paraId="2D1097A5" w14:textId="6130ADEE" w:rsidR="00E540F6" w:rsidRPr="008B6471" w:rsidRDefault="00E540F6" w:rsidP="00B446F1">
            <w:pPr>
              <w:jc w:val="right"/>
              <w:rPr>
                <w:rFonts w:cs="Arial"/>
                <w:sz w:val="22"/>
                <w:szCs w:val="24"/>
              </w:rPr>
            </w:pPr>
            <w:r w:rsidRPr="008B6471">
              <w:rPr>
                <w:rFonts w:cs="Arial"/>
                <w:sz w:val="22"/>
                <w:szCs w:val="24"/>
              </w:rPr>
              <w:t>122,040</w:t>
            </w:r>
          </w:p>
        </w:tc>
        <w:tc>
          <w:tcPr>
            <w:tcW w:w="1232" w:type="pct"/>
          </w:tcPr>
          <w:p w14:paraId="70966F3A" w14:textId="22D537F1" w:rsidR="00E540F6" w:rsidRPr="008B6471" w:rsidRDefault="00E540F6" w:rsidP="00B446F1">
            <w:pPr>
              <w:jc w:val="right"/>
              <w:rPr>
                <w:rFonts w:cs="Arial"/>
                <w:sz w:val="22"/>
                <w:szCs w:val="24"/>
              </w:rPr>
            </w:pPr>
            <w:r w:rsidRPr="008B6471">
              <w:rPr>
                <w:rFonts w:cs="Arial"/>
                <w:sz w:val="22"/>
                <w:szCs w:val="24"/>
              </w:rPr>
              <w:t>741,713</w:t>
            </w:r>
          </w:p>
        </w:tc>
        <w:tc>
          <w:tcPr>
            <w:tcW w:w="923" w:type="pct"/>
          </w:tcPr>
          <w:p w14:paraId="5635FF8D" w14:textId="0488B451" w:rsidR="00E540F6" w:rsidRPr="008B6471" w:rsidRDefault="00422F48" w:rsidP="00B446F1">
            <w:pPr>
              <w:jc w:val="right"/>
              <w:rPr>
                <w:rFonts w:cs="Arial"/>
                <w:sz w:val="22"/>
                <w:szCs w:val="24"/>
              </w:rPr>
            </w:pPr>
            <w:r w:rsidRPr="008B6471">
              <w:rPr>
                <w:rFonts w:cs="Arial"/>
                <w:sz w:val="22"/>
                <w:szCs w:val="24"/>
              </w:rPr>
              <w:t>13.30</w:t>
            </w:r>
            <w:r w:rsidR="00B446F1" w:rsidRPr="008B6471">
              <w:rPr>
                <w:rFonts w:cs="Arial"/>
                <w:sz w:val="22"/>
                <w:szCs w:val="24"/>
              </w:rPr>
              <w:t xml:space="preserve"> </w:t>
            </w:r>
            <w:r w:rsidR="00E540F6" w:rsidRPr="008B6471">
              <w:rPr>
                <w:rFonts w:cs="Arial"/>
                <w:sz w:val="22"/>
                <w:szCs w:val="24"/>
              </w:rPr>
              <w:t>%</w:t>
            </w:r>
          </w:p>
        </w:tc>
      </w:tr>
      <w:tr w:rsidR="00E540F6" w:rsidRPr="008B6471" w14:paraId="701E3F1E" w14:textId="77777777" w:rsidTr="008B6471">
        <w:tc>
          <w:tcPr>
            <w:tcW w:w="1306" w:type="pct"/>
          </w:tcPr>
          <w:p w14:paraId="510E6910" w14:textId="703961A6" w:rsidR="00E540F6" w:rsidRPr="008B6471" w:rsidRDefault="00E540F6" w:rsidP="00B446F1">
            <w:pPr>
              <w:jc w:val="left"/>
              <w:rPr>
                <w:rFonts w:cs="Arial"/>
                <w:sz w:val="22"/>
                <w:szCs w:val="24"/>
              </w:rPr>
            </w:pPr>
            <w:r w:rsidRPr="008B6471">
              <w:rPr>
                <w:rFonts w:cs="Arial"/>
                <w:sz w:val="22"/>
                <w:szCs w:val="24"/>
              </w:rPr>
              <w:t>December 31, 2012</w:t>
            </w:r>
            <w:r w:rsidR="00422F48" w:rsidRPr="008B6471">
              <w:rPr>
                <w:rStyle w:val="FootnoteReference"/>
                <w:rFonts w:cs="Arial"/>
                <w:sz w:val="22"/>
                <w:szCs w:val="24"/>
              </w:rPr>
              <w:footnoteReference w:id="10"/>
            </w:r>
          </w:p>
        </w:tc>
        <w:tc>
          <w:tcPr>
            <w:tcW w:w="1539" w:type="pct"/>
          </w:tcPr>
          <w:p w14:paraId="30E1663A" w14:textId="1D6A3707" w:rsidR="00E540F6" w:rsidRPr="008B6471" w:rsidRDefault="00E540F6" w:rsidP="00B446F1">
            <w:pPr>
              <w:jc w:val="right"/>
              <w:rPr>
                <w:rFonts w:cs="Arial"/>
                <w:sz w:val="22"/>
                <w:szCs w:val="24"/>
              </w:rPr>
            </w:pPr>
            <w:r w:rsidRPr="008B6471">
              <w:rPr>
                <w:rFonts w:cs="Arial"/>
                <w:sz w:val="22"/>
                <w:szCs w:val="24"/>
              </w:rPr>
              <w:t>125,792</w:t>
            </w:r>
          </w:p>
        </w:tc>
        <w:tc>
          <w:tcPr>
            <w:tcW w:w="1232" w:type="pct"/>
          </w:tcPr>
          <w:p w14:paraId="521B89A0" w14:textId="16FA1FCF" w:rsidR="00E540F6" w:rsidRPr="008B6471" w:rsidRDefault="00E540F6" w:rsidP="00B446F1">
            <w:pPr>
              <w:jc w:val="right"/>
              <w:rPr>
                <w:rFonts w:cs="Arial"/>
                <w:sz w:val="22"/>
                <w:szCs w:val="24"/>
              </w:rPr>
            </w:pPr>
            <w:r w:rsidRPr="008B6471">
              <w:rPr>
                <w:rFonts w:cs="Arial"/>
                <w:sz w:val="22"/>
                <w:szCs w:val="24"/>
              </w:rPr>
              <w:t>764,969</w:t>
            </w:r>
          </w:p>
        </w:tc>
        <w:tc>
          <w:tcPr>
            <w:tcW w:w="923" w:type="pct"/>
          </w:tcPr>
          <w:p w14:paraId="057B8EB4" w14:textId="0B7A32D0" w:rsidR="00E540F6" w:rsidRPr="008B6471" w:rsidRDefault="0070478C" w:rsidP="00B446F1">
            <w:pPr>
              <w:jc w:val="right"/>
              <w:rPr>
                <w:rFonts w:cs="Arial"/>
                <w:sz w:val="22"/>
                <w:szCs w:val="24"/>
              </w:rPr>
            </w:pPr>
            <w:r w:rsidRPr="008B6471">
              <w:rPr>
                <w:rFonts w:cs="Arial"/>
                <w:sz w:val="22"/>
                <w:szCs w:val="24"/>
              </w:rPr>
              <w:t>13.10</w:t>
            </w:r>
            <w:r w:rsidR="00B446F1" w:rsidRPr="008B6471">
              <w:rPr>
                <w:rFonts w:cs="Arial"/>
                <w:sz w:val="22"/>
                <w:szCs w:val="24"/>
              </w:rPr>
              <w:t xml:space="preserve"> </w:t>
            </w:r>
            <w:r w:rsidRPr="008B6471">
              <w:rPr>
                <w:rFonts w:cs="Arial"/>
                <w:sz w:val="22"/>
                <w:szCs w:val="24"/>
              </w:rPr>
              <w:t>%</w:t>
            </w:r>
          </w:p>
        </w:tc>
      </w:tr>
      <w:tr w:rsidR="00E540F6" w:rsidRPr="008B6471" w14:paraId="0F65D336" w14:textId="77777777" w:rsidTr="008B6471">
        <w:tc>
          <w:tcPr>
            <w:tcW w:w="1306" w:type="pct"/>
          </w:tcPr>
          <w:p w14:paraId="536856C9" w14:textId="6762C7D1" w:rsidR="00E540F6" w:rsidRPr="008B6471" w:rsidRDefault="00DD2590" w:rsidP="00B446F1">
            <w:pPr>
              <w:jc w:val="left"/>
              <w:rPr>
                <w:rFonts w:cs="Arial"/>
                <w:sz w:val="22"/>
                <w:szCs w:val="24"/>
              </w:rPr>
            </w:pPr>
            <w:r w:rsidRPr="008B6471">
              <w:rPr>
                <w:rFonts w:cs="Arial"/>
                <w:sz w:val="22"/>
                <w:szCs w:val="24"/>
              </w:rPr>
              <w:t>December 31, 2013</w:t>
            </w:r>
            <w:r w:rsidR="00275097" w:rsidRPr="008B6471">
              <w:rPr>
                <w:rStyle w:val="FootnoteReference"/>
                <w:rFonts w:cs="Arial"/>
                <w:sz w:val="22"/>
                <w:szCs w:val="24"/>
              </w:rPr>
              <w:footnoteReference w:id="11"/>
            </w:r>
          </w:p>
        </w:tc>
        <w:tc>
          <w:tcPr>
            <w:tcW w:w="1539" w:type="pct"/>
          </w:tcPr>
          <w:p w14:paraId="64D644A5" w14:textId="00E4F35E" w:rsidR="00E540F6" w:rsidRPr="008B6471" w:rsidRDefault="00DD2590" w:rsidP="00B446F1">
            <w:pPr>
              <w:jc w:val="right"/>
              <w:rPr>
                <w:rFonts w:cs="Arial"/>
                <w:sz w:val="22"/>
                <w:szCs w:val="24"/>
              </w:rPr>
            </w:pPr>
            <w:r w:rsidRPr="008B6471">
              <w:rPr>
                <w:rFonts w:cs="Arial"/>
                <w:sz w:val="22"/>
                <w:szCs w:val="24"/>
              </w:rPr>
              <w:t>130,424</w:t>
            </w:r>
          </w:p>
        </w:tc>
        <w:tc>
          <w:tcPr>
            <w:tcW w:w="1232" w:type="pct"/>
          </w:tcPr>
          <w:p w14:paraId="0B144FCD" w14:textId="55057DCC" w:rsidR="00E540F6" w:rsidRPr="008B6471" w:rsidRDefault="00DD2590" w:rsidP="00B446F1">
            <w:pPr>
              <w:jc w:val="right"/>
              <w:rPr>
                <w:rFonts w:cs="Arial"/>
                <w:sz w:val="22"/>
                <w:szCs w:val="24"/>
              </w:rPr>
            </w:pPr>
            <w:r w:rsidRPr="008B6471">
              <w:rPr>
                <w:rFonts w:cs="Arial"/>
                <w:sz w:val="22"/>
                <w:szCs w:val="24"/>
              </w:rPr>
              <w:t>753,842</w:t>
            </w:r>
          </w:p>
        </w:tc>
        <w:tc>
          <w:tcPr>
            <w:tcW w:w="923" w:type="pct"/>
          </w:tcPr>
          <w:p w14:paraId="2546277E" w14:textId="69FC0F8E" w:rsidR="00E540F6" w:rsidRPr="008B6471" w:rsidRDefault="00933129" w:rsidP="00B446F1">
            <w:pPr>
              <w:jc w:val="right"/>
              <w:rPr>
                <w:rFonts w:cs="Arial"/>
                <w:sz w:val="22"/>
                <w:szCs w:val="24"/>
              </w:rPr>
            </w:pPr>
            <w:r w:rsidRPr="008B6471">
              <w:rPr>
                <w:rFonts w:cs="Arial"/>
                <w:sz w:val="22"/>
                <w:szCs w:val="24"/>
              </w:rPr>
              <w:t>13.80</w:t>
            </w:r>
            <w:r w:rsidR="00B446F1" w:rsidRPr="008B6471">
              <w:rPr>
                <w:rFonts w:cs="Arial"/>
                <w:sz w:val="22"/>
                <w:szCs w:val="24"/>
              </w:rPr>
              <w:t xml:space="preserve"> </w:t>
            </w:r>
            <w:r w:rsidRPr="008B6471">
              <w:rPr>
                <w:rFonts w:cs="Arial"/>
                <w:sz w:val="22"/>
                <w:szCs w:val="24"/>
              </w:rPr>
              <w:t>%</w:t>
            </w:r>
          </w:p>
        </w:tc>
      </w:tr>
      <w:tr w:rsidR="00E540F6" w:rsidRPr="008B6471" w14:paraId="79B45C74" w14:textId="77777777" w:rsidTr="008B6471">
        <w:tc>
          <w:tcPr>
            <w:tcW w:w="1306" w:type="pct"/>
          </w:tcPr>
          <w:p w14:paraId="1177AE7D" w14:textId="70EF16CE" w:rsidR="00E540F6" w:rsidRPr="008B6471" w:rsidRDefault="00DD2590" w:rsidP="00B446F1">
            <w:pPr>
              <w:jc w:val="left"/>
              <w:rPr>
                <w:rFonts w:cs="Arial"/>
                <w:sz w:val="22"/>
                <w:szCs w:val="24"/>
              </w:rPr>
            </w:pPr>
            <w:r w:rsidRPr="008B6471">
              <w:rPr>
                <w:rFonts w:cs="Arial"/>
                <w:sz w:val="22"/>
                <w:szCs w:val="24"/>
              </w:rPr>
              <w:t>December 31, 2014</w:t>
            </w:r>
            <w:r w:rsidR="00933129" w:rsidRPr="008B6471">
              <w:rPr>
                <w:rStyle w:val="FootnoteReference"/>
                <w:rFonts w:cs="Arial"/>
                <w:sz w:val="22"/>
                <w:szCs w:val="24"/>
              </w:rPr>
              <w:footnoteReference w:id="12"/>
            </w:r>
          </w:p>
        </w:tc>
        <w:tc>
          <w:tcPr>
            <w:tcW w:w="1539" w:type="pct"/>
          </w:tcPr>
          <w:p w14:paraId="376DA9C2" w14:textId="1667F060" w:rsidR="00E540F6" w:rsidRPr="008B6471" w:rsidRDefault="00DD2590" w:rsidP="00B446F1">
            <w:pPr>
              <w:jc w:val="right"/>
              <w:rPr>
                <w:rFonts w:cs="Arial"/>
                <w:sz w:val="22"/>
                <w:szCs w:val="24"/>
              </w:rPr>
            </w:pPr>
            <w:r w:rsidRPr="008B6471">
              <w:rPr>
                <w:rFonts w:cs="Arial"/>
                <w:sz w:val="22"/>
                <w:szCs w:val="24"/>
              </w:rPr>
              <w:t>135,346</w:t>
            </w:r>
          </w:p>
        </w:tc>
        <w:tc>
          <w:tcPr>
            <w:tcW w:w="1232" w:type="pct"/>
          </w:tcPr>
          <w:p w14:paraId="051641BC" w14:textId="4D1C1BF2" w:rsidR="00E540F6" w:rsidRPr="008B6471" w:rsidRDefault="00DD2590" w:rsidP="00B446F1">
            <w:pPr>
              <w:jc w:val="right"/>
              <w:rPr>
                <w:rFonts w:cs="Arial"/>
                <w:sz w:val="22"/>
                <w:szCs w:val="24"/>
              </w:rPr>
            </w:pPr>
            <w:r w:rsidRPr="008B6471">
              <w:rPr>
                <w:rFonts w:cs="Arial"/>
                <w:sz w:val="22"/>
                <w:szCs w:val="24"/>
              </w:rPr>
              <w:t>745,720</w:t>
            </w:r>
          </w:p>
        </w:tc>
        <w:tc>
          <w:tcPr>
            <w:tcW w:w="923" w:type="pct"/>
          </w:tcPr>
          <w:p w14:paraId="41E47CFF" w14:textId="05EDAB0F" w:rsidR="00E540F6" w:rsidRPr="008B6471" w:rsidRDefault="00933129" w:rsidP="00B446F1">
            <w:pPr>
              <w:jc w:val="right"/>
              <w:rPr>
                <w:rFonts w:cs="Arial"/>
                <w:sz w:val="22"/>
                <w:szCs w:val="24"/>
              </w:rPr>
            </w:pPr>
            <w:r w:rsidRPr="008B6471">
              <w:rPr>
                <w:rFonts w:cs="Arial"/>
                <w:sz w:val="22"/>
                <w:szCs w:val="24"/>
              </w:rPr>
              <w:t>14.55</w:t>
            </w:r>
            <w:r w:rsidR="00B446F1" w:rsidRPr="008B6471">
              <w:rPr>
                <w:rFonts w:cs="Arial"/>
                <w:sz w:val="22"/>
                <w:szCs w:val="24"/>
              </w:rPr>
              <w:t xml:space="preserve"> </w:t>
            </w:r>
            <w:r w:rsidR="00DD2590" w:rsidRPr="008B6471">
              <w:rPr>
                <w:rFonts w:cs="Arial"/>
                <w:sz w:val="22"/>
                <w:szCs w:val="24"/>
              </w:rPr>
              <w:t>%</w:t>
            </w:r>
          </w:p>
        </w:tc>
      </w:tr>
      <w:tr w:rsidR="005E4C6F" w:rsidRPr="008B6471" w14:paraId="70E6AA5C" w14:textId="77777777" w:rsidTr="008B6471">
        <w:tc>
          <w:tcPr>
            <w:tcW w:w="1306" w:type="pct"/>
          </w:tcPr>
          <w:p w14:paraId="22A4210C" w14:textId="5031F45A" w:rsidR="005E4C6F" w:rsidRPr="008B6471" w:rsidRDefault="005E4C6F" w:rsidP="00B446F1">
            <w:pPr>
              <w:jc w:val="left"/>
              <w:rPr>
                <w:rFonts w:cs="Arial"/>
                <w:sz w:val="22"/>
                <w:szCs w:val="24"/>
              </w:rPr>
            </w:pPr>
            <w:r w:rsidRPr="008B6471">
              <w:rPr>
                <w:rFonts w:cs="Arial"/>
                <w:sz w:val="22"/>
                <w:szCs w:val="24"/>
              </w:rPr>
              <w:t>December 31, 2015</w:t>
            </w:r>
            <w:r w:rsidRPr="008B6471">
              <w:rPr>
                <w:rStyle w:val="FootnoteReference"/>
                <w:rFonts w:cs="Arial"/>
                <w:sz w:val="22"/>
                <w:szCs w:val="24"/>
              </w:rPr>
              <w:footnoteReference w:id="13"/>
            </w:r>
          </w:p>
        </w:tc>
        <w:tc>
          <w:tcPr>
            <w:tcW w:w="1539" w:type="pct"/>
          </w:tcPr>
          <w:p w14:paraId="0D947C50" w14:textId="45AA65E1" w:rsidR="005E4C6F" w:rsidRPr="008B6471" w:rsidRDefault="005E4C6F" w:rsidP="00B446F1">
            <w:pPr>
              <w:jc w:val="right"/>
              <w:rPr>
                <w:rFonts w:cs="Arial"/>
                <w:sz w:val="22"/>
                <w:szCs w:val="24"/>
              </w:rPr>
            </w:pPr>
            <w:r w:rsidRPr="008B6471">
              <w:rPr>
                <w:rFonts w:cs="Arial"/>
                <w:sz w:val="22"/>
                <w:szCs w:val="24"/>
              </w:rPr>
              <w:t>148</w:t>
            </w:r>
            <w:r w:rsidR="002828F2" w:rsidRPr="008B6471">
              <w:rPr>
                <w:rFonts w:cs="Arial"/>
                <w:sz w:val="22"/>
                <w:szCs w:val="24"/>
              </w:rPr>
              <w:t>,</w:t>
            </w:r>
            <w:r w:rsidRPr="008B6471">
              <w:rPr>
                <w:rFonts w:cs="Arial"/>
                <w:sz w:val="22"/>
                <w:szCs w:val="24"/>
              </w:rPr>
              <w:t>382</w:t>
            </w:r>
          </w:p>
        </w:tc>
        <w:tc>
          <w:tcPr>
            <w:tcW w:w="1232" w:type="pct"/>
          </w:tcPr>
          <w:p w14:paraId="1471D053" w14:textId="197501C8" w:rsidR="005E4C6F" w:rsidRPr="008B6471" w:rsidRDefault="005E4C6F" w:rsidP="00B446F1">
            <w:pPr>
              <w:jc w:val="right"/>
              <w:rPr>
                <w:rFonts w:cs="Arial"/>
                <w:sz w:val="22"/>
                <w:szCs w:val="24"/>
              </w:rPr>
            </w:pPr>
            <w:r w:rsidRPr="008B6471">
              <w:rPr>
                <w:rFonts w:cs="Arial"/>
                <w:sz w:val="22"/>
                <w:szCs w:val="24"/>
              </w:rPr>
              <w:t>796</w:t>
            </w:r>
            <w:r w:rsidR="002828F2" w:rsidRPr="008B6471">
              <w:rPr>
                <w:rFonts w:cs="Arial"/>
                <w:sz w:val="22"/>
                <w:szCs w:val="24"/>
              </w:rPr>
              <w:t>,</w:t>
            </w:r>
            <w:r w:rsidRPr="008B6471">
              <w:rPr>
                <w:rFonts w:cs="Arial"/>
                <w:sz w:val="22"/>
                <w:szCs w:val="24"/>
              </w:rPr>
              <w:t>109</w:t>
            </w:r>
          </w:p>
        </w:tc>
        <w:tc>
          <w:tcPr>
            <w:tcW w:w="923" w:type="pct"/>
          </w:tcPr>
          <w:p w14:paraId="6D51A9A9" w14:textId="09C80437" w:rsidR="005E4C6F" w:rsidRPr="008B6471" w:rsidRDefault="005E4C6F" w:rsidP="00B446F1">
            <w:pPr>
              <w:jc w:val="right"/>
              <w:rPr>
                <w:rFonts w:cs="Arial"/>
                <w:sz w:val="22"/>
                <w:szCs w:val="24"/>
              </w:rPr>
            </w:pPr>
            <w:r w:rsidRPr="008B6471">
              <w:rPr>
                <w:rFonts w:cs="Arial"/>
                <w:sz w:val="22"/>
                <w:szCs w:val="24"/>
              </w:rPr>
              <w:t>14</w:t>
            </w:r>
            <w:r w:rsidR="002828F2" w:rsidRPr="008B6471">
              <w:rPr>
                <w:rFonts w:cs="Arial"/>
                <w:sz w:val="22"/>
                <w:szCs w:val="24"/>
              </w:rPr>
              <w:t>.</w:t>
            </w:r>
            <w:r w:rsidRPr="008B6471">
              <w:rPr>
                <w:rFonts w:cs="Arial"/>
                <w:sz w:val="22"/>
                <w:szCs w:val="24"/>
              </w:rPr>
              <w:t>87</w:t>
            </w:r>
            <w:r w:rsidR="00B446F1" w:rsidRPr="008B6471">
              <w:rPr>
                <w:rFonts w:cs="Arial"/>
                <w:sz w:val="22"/>
                <w:szCs w:val="24"/>
              </w:rPr>
              <w:t xml:space="preserve"> </w:t>
            </w:r>
            <w:r w:rsidR="002828F2" w:rsidRPr="008B6471">
              <w:rPr>
                <w:rFonts w:cs="Arial"/>
                <w:sz w:val="22"/>
                <w:szCs w:val="24"/>
              </w:rPr>
              <w:t>%</w:t>
            </w:r>
          </w:p>
        </w:tc>
      </w:tr>
      <w:tr w:rsidR="005E4C6F" w:rsidRPr="008B6471" w14:paraId="3B8717E6" w14:textId="77777777" w:rsidTr="008B6471">
        <w:tc>
          <w:tcPr>
            <w:tcW w:w="1306" w:type="pct"/>
          </w:tcPr>
          <w:p w14:paraId="1ED427B6" w14:textId="10374642" w:rsidR="005E4C6F" w:rsidRPr="008B6471" w:rsidRDefault="005E4C6F" w:rsidP="00B446F1">
            <w:pPr>
              <w:jc w:val="left"/>
              <w:rPr>
                <w:rFonts w:cs="Arial"/>
                <w:sz w:val="22"/>
                <w:szCs w:val="24"/>
              </w:rPr>
            </w:pPr>
            <w:r w:rsidRPr="008B6471">
              <w:rPr>
                <w:rFonts w:cs="Arial"/>
                <w:sz w:val="22"/>
                <w:szCs w:val="24"/>
              </w:rPr>
              <w:t>December 31, 2016</w:t>
            </w:r>
            <w:r w:rsidRPr="008B6471">
              <w:rPr>
                <w:rStyle w:val="FootnoteReference"/>
                <w:rFonts w:cs="Arial"/>
                <w:sz w:val="22"/>
                <w:szCs w:val="24"/>
              </w:rPr>
              <w:footnoteReference w:id="14"/>
            </w:r>
          </w:p>
        </w:tc>
        <w:tc>
          <w:tcPr>
            <w:tcW w:w="1539" w:type="pct"/>
          </w:tcPr>
          <w:p w14:paraId="4C04384C" w14:textId="0910B107" w:rsidR="005E4C6F" w:rsidRPr="008B6471" w:rsidRDefault="002828F2" w:rsidP="00B446F1">
            <w:pPr>
              <w:jc w:val="right"/>
              <w:rPr>
                <w:rFonts w:cs="Arial"/>
                <w:sz w:val="22"/>
                <w:szCs w:val="24"/>
              </w:rPr>
            </w:pPr>
            <w:r w:rsidRPr="008B6471">
              <w:rPr>
                <w:rFonts w:cs="Arial"/>
                <w:sz w:val="22"/>
                <w:szCs w:val="24"/>
              </w:rPr>
              <w:t xml:space="preserve">151,719 </w:t>
            </w:r>
          </w:p>
        </w:tc>
        <w:tc>
          <w:tcPr>
            <w:tcW w:w="1232" w:type="pct"/>
          </w:tcPr>
          <w:p w14:paraId="58F0AAE0" w14:textId="29B68B00" w:rsidR="005E4C6F" w:rsidRPr="008B6471" w:rsidRDefault="002828F2" w:rsidP="00B446F1">
            <w:pPr>
              <w:jc w:val="right"/>
              <w:rPr>
                <w:rFonts w:cs="Arial"/>
                <w:sz w:val="22"/>
                <w:szCs w:val="24"/>
              </w:rPr>
            </w:pPr>
            <w:r w:rsidRPr="008B6471">
              <w:rPr>
                <w:rFonts w:cs="Arial"/>
                <w:sz w:val="22"/>
                <w:szCs w:val="24"/>
              </w:rPr>
              <w:t>865,564</w:t>
            </w:r>
          </w:p>
        </w:tc>
        <w:tc>
          <w:tcPr>
            <w:tcW w:w="923" w:type="pct"/>
          </w:tcPr>
          <w:p w14:paraId="23D84977" w14:textId="59567A6F" w:rsidR="005E4C6F" w:rsidRPr="008B6471" w:rsidRDefault="002828F2" w:rsidP="00B446F1">
            <w:pPr>
              <w:jc w:val="right"/>
              <w:rPr>
                <w:rFonts w:cs="Arial"/>
                <w:sz w:val="22"/>
                <w:szCs w:val="24"/>
              </w:rPr>
            </w:pPr>
            <w:r w:rsidRPr="008B6471">
              <w:rPr>
                <w:rFonts w:cs="Arial"/>
                <w:sz w:val="22"/>
                <w:szCs w:val="24"/>
              </w:rPr>
              <w:t>14.19</w:t>
            </w:r>
            <w:r w:rsidR="00B446F1" w:rsidRPr="008B6471">
              <w:rPr>
                <w:rFonts w:cs="Arial"/>
                <w:sz w:val="22"/>
                <w:szCs w:val="24"/>
              </w:rPr>
              <w:t xml:space="preserve"> </w:t>
            </w:r>
            <w:r w:rsidRPr="008B6471">
              <w:rPr>
                <w:rFonts w:cs="Arial"/>
                <w:sz w:val="22"/>
                <w:szCs w:val="24"/>
              </w:rPr>
              <w:t>%</w:t>
            </w:r>
          </w:p>
        </w:tc>
      </w:tr>
      <w:tr w:rsidR="002828F2" w:rsidRPr="008B6471" w14:paraId="7461E35E" w14:textId="77777777" w:rsidTr="008B6471">
        <w:tc>
          <w:tcPr>
            <w:tcW w:w="1306" w:type="pct"/>
          </w:tcPr>
          <w:p w14:paraId="2F8FB4EE" w14:textId="015F9E98" w:rsidR="002828F2" w:rsidRPr="008B6471" w:rsidRDefault="002828F2" w:rsidP="00B446F1">
            <w:pPr>
              <w:jc w:val="left"/>
              <w:rPr>
                <w:rFonts w:cs="Arial"/>
                <w:sz w:val="22"/>
                <w:szCs w:val="24"/>
              </w:rPr>
            </w:pPr>
            <w:r w:rsidRPr="008B6471">
              <w:rPr>
                <w:rFonts w:cs="Arial"/>
                <w:sz w:val="22"/>
                <w:szCs w:val="24"/>
              </w:rPr>
              <w:t>December 31, 2017</w:t>
            </w:r>
            <w:r w:rsidRPr="008B6471">
              <w:rPr>
                <w:rStyle w:val="FootnoteReference"/>
                <w:rFonts w:cs="Arial"/>
                <w:sz w:val="22"/>
                <w:szCs w:val="24"/>
              </w:rPr>
              <w:footnoteReference w:id="15"/>
            </w:r>
          </w:p>
        </w:tc>
        <w:tc>
          <w:tcPr>
            <w:tcW w:w="1539" w:type="pct"/>
          </w:tcPr>
          <w:p w14:paraId="371CE4B4" w14:textId="4315455C" w:rsidR="002828F2" w:rsidRPr="008B6471" w:rsidRDefault="002828F2" w:rsidP="00B446F1">
            <w:pPr>
              <w:jc w:val="right"/>
              <w:rPr>
                <w:rFonts w:cs="Arial"/>
                <w:sz w:val="22"/>
                <w:szCs w:val="24"/>
              </w:rPr>
            </w:pPr>
            <w:r w:rsidRPr="008B6471">
              <w:rPr>
                <w:rFonts w:cs="Arial"/>
                <w:sz w:val="22"/>
                <w:szCs w:val="24"/>
              </w:rPr>
              <w:t xml:space="preserve">157,174 </w:t>
            </w:r>
          </w:p>
        </w:tc>
        <w:tc>
          <w:tcPr>
            <w:tcW w:w="1232" w:type="pct"/>
          </w:tcPr>
          <w:p w14:paraId="6A7EA9DA" w14:textId="6D90B436" w:rsidR="002828F2" w:rsidRPr="008B6471" w:rsidRDefault="002828F2" w:rsidP="00B446F1">
            <w:pPr>
              <w:jc w:val="right"/>
              <w:rPr>
                <w:rFonts w:cs="Arial"/>
                <w:sz w:val="22"/>
                <w:szCs w:val="24"/>
              </w:rPr>
            </w:pPr>
            <w:r w:rsidRPr="008B6471">
              <w:rPr>
                <w:rFonts w:cs="Arial"/>
                <w:sz w:val="22"/>
                <w:szCs w:val="24"/>
              </w:rPr>
              <w:t>954,831</w:t>
            </w:r>
          </w:p>
        </w:tc>
        <w:tc>
          <w:tcPr>
            <w:tcW w:w="923" w:type="pct"/>
          </w:tcPr>
          <w:p w14:paraId="1846EF95" w14:textId="65A3E6F6" w:rsidR="002828F2" w:rsidRPr="008B6471" w:rsidRDefault="002828F2" w:rsidP="00B446F1">
            <w:pPr>
              <w:jc w:val="right"/>
              <w:rPr>
                <w:rFonts w:cs="Arial"/>
                <w:sz w:val="22"/>
                <w:szCs w:val="24"/>
              </w:rPr>
            </w:pPr>
            <w:r w:rsidRPr="008B6471">
              <w:rPr>
                <w:rFonts w:cs="Arial"/>
                <w:sz w:val="22"/>
                <w:szCs w:val="24"/>
              </w:rPr>
              <w:t>13.34</w:t>
            </w:r>
            <w:r w:rsidR="00B446F1" w:rsidRPr="008B6471">
              <w:rPr>
                <w:rFonts w:cs="Arial"/>
                <w:sz w:val="22"/>
                <w:szCs w:val="24"/>
              </w:rPr>
              <w:t xml:space="preserve"> </w:t>
            </w:r>
            <w:r w:rsidRPr="008B6471">
              <w:rPr>
                <w:rFonts w:cs="Arial"/>
                <w:sz w:val="22"/>
                <w:szCs w:val="24"/>
              </w:rPr>
              <w:t>%</w:t>
            </w:r>
          </w:p>
        </w:tc>
      </w:tr>
      <w:tr w:rsidR="002828F2" w:rsidRPr="008B6471" w14:paraId="50D46328" w14:textId="77777777" w:rsidTr="008B6471">
        <w:tc>
          <w:tcPr>
            <w:tcW w:w="1306" w:type="pct"/>
          </w:tcPr>
          <w:p w14:paraId="7CD06CDD" w14:textId="364FD0F1" w:rsidR="002828F2" w:rsidRPr="008B6471" w:rsidRDefault="00422F48" w:rsidP="00B446F1">
            <w:pPr>
              <w:jc w:val="left"/>
              <w:rPr>
                <w:rFonts w:cs="Arial"/>
                <w:sz w:val="22"/>
                <w:szCs w:val="24"/>
              </w:rPr>
            </w:pPr>
            <w:r w:rsidRPr="008B6471">
              <w:rPr>
                <w:rFonts w:cs="Arial"/>
                <w:sz w:val="22"/>
                <w:szCs w:val="24"/>
              </w:rPr>
              <w:t>December 31, 2018</w:t>
            </w:r>
            <w:r w:rsidRPr="008B6471">
              <w:rPr>
                <w:rStyle w:val="FootnoteReference"/>
                <w:rFonts w:cs="Arial"/>
                <w:sz w:val="22"/>
                <w:szCs w:val="24"/>
              </w:rPr>
              <w:footnoteReference w:id="16"/>
            </w:r>
          </w:p>
        </w:tc>
        <w:tc>
          <w:tcPr>
            <w:tcW w:w="1539" w:type="pct"/>
          </w:tcPr>
          <w:p w14:paraId="62ED52C5" w14:textId="14D7F59A" w:rsidR="002828F2" w:rsidRPr="008B6471" w:rsidRDefault="00422F48" w:rsidP="00B446F1">
            <w:pPr>
              <w:jc w:val="right"/>
              <w:rPr>
                <w:rFonts w:cs="Arial"/>
                <w:sz w:val="22"/>
                <w:szCs w:val="24"/>
              </w:rPr>
            </w:pPr>
            <w:r w:rsidRPr="008B6471">
              <w:rPr>
                <w:rFonts w:cs="Arial"/>
                <w:sz w:val="22"/>
                <w:szCs w:val="24"/>
              </w:rPr>
              <w:t xml:space="preserve">166.579 </w:t>
            </w:r>
          </w:p>
        </w:tc>
        <w:tc>
          <w:tcPr>
            <w:tcW w:w="1232" w:type="pct"/>
          </w:tcPr>
          <w:p w14:paraId="458D2C67" w14:textId="4B7069BD" w:rsidR="002828F2" w:rsidRPr="008B6471" w:rsidRDefault="00422F48" w:rsidP="00B446F1">
            <w:pPr>
              <w:jc w:val="right"/>
              <w:rPr>
                <w:rFonts w:cs="Arial"/>
                <w:sz w:val="22"/>
                <w:szCs w:val="24"/>
              </w:rPr>
            </w:pPr>
            <w:r w:rsidRPr="008B6471">
              <w:rPr>
                <w:rFonts w:cs="Arial"/>
                <w:sz w:val="22"/>
                <w:szCs w:val="24"/>
              </w:rPr>
              <w:t>1,054,275</w:t>
            </w:r>
          </w:p>
        </w:tc>
        <w:tc>
          <w:tcPr>
            <w:tcW w:w="923" w:type="pct"/>
          </w:tcPr>
          <w:p w14:paraId="53ED4747" w14:textId="5BE0681F" w:rsidR="002828F2" w:rsidRPr="008B6471" w:rsidRDefault="00422F48" w:rsidP="00B446F1">
            <w:pPr>
              <w:jc w:val="right"/>
              <w:rPr>
                <w:rFonts w:cs="Arial"/>
                <w:sz w:val="22"/>
                <w:szCs w:val="24"/>
              </w:rPr>
            </w:pPr>
            <w:r w:rsidRPr="008B6471">
              <w:rPr>
                <w:rFonts w:cs="Arial"/>
                <w:sz w:val="22"/>
                <w:szCs w:val="24"/>
              </w:rPr>
              <w:t>12</w:t>
            </w:r>
            <w:r w:rsidR="00696C8D" w:rsidRPr="008B6471">
              <w:rPr>
                <w:rFonts w:cs="Arial"/>
                <w:sz w:val="22"/>
                <w:szCs w:val="24"/>
              </w:rPr>
              <w:t>.</w:t>
            </w:r>
            <w:r w:rsidRPr="008B6471">
              <w:rPr>
                <w:rFonts w:cs="Arial"/>
                <w:sz w:val="22"/>
                <w:szCs w:val="24"/>
              </w:rPr>
              <w:t>61</w:t>
            </w:r>
            <w:r w:rsidR="00B446F1" w:rsidRPr="008B6471">
              <w:rPr>
                <w:rFonts w:cs="Arial"/>
                <w:sz w:val="22"/>
                <w:szCs w:val="24"/>
              </w:rPr>
              <w:t xml:space="preserve"> </w:t>
            </w:r>
            <w:r w:rsidRPr="008B6471">
              <w:rPr>
                <w:rFonts w:cs="Arial"/>
                <w:sz w:val="22"/>
                <w:szCs w:val="24"/>
              </w:rPr>
              <w:t>%</w:t>
            </w:r>
          </w:p>
        </w:tc>
      </w:tr>
    </w:tbl>
    <w:p w14:paraId="201C909C" w14:textId="77777777" w:rsidR="00E540F6" w:rsidRPr="002A111A" w:rsidRDefault="00E540F6" w:rsidP="00B446F1">
      <w:pPr>
        <w:rPr>
          <w:rFonts w:cs="Arial"/>
          <w:szCs w:val="24"/>
        </w:rPr>
      </w:pPr>
    </w:p>
    <w:p w14:paraId="0F7EEEDE" w14:textId="7D55AEB8" w:rsidR="00077016" w:rsidRPr="002A111A" w:rsidRDefault="00077016" w:rsidP="00B446F1">
      <w:pPr>
        <w:rPr>
          <w:rFonts w:cs="Arial"/>
          <w:szCs w:val="24"/>
        </w:rPr>
      </w:pPr>
      <w:r w:rsidRPr="002A111A">
        <w:rPr>
          <w:rFonts w:cs="Arial"/>
          <w:szCs w:val="24"/>
        </w:rPr>
        <w:t>That is to say</w:t>
      </w:r>
      <w:r w:rsidR="00911B6B" w:rsidRPr="002A111A">
        <w:rPr>
          <w:rFonts w:cs="Arial"/>
          <w:szCs w:val="24"/>
        </w:rPr>
        <w:t xml:space="preserve">, </w:t>
      </w:r>
      <w:r w:rsidRPr="002A111A">
        <w:rPr>
          <w:rFonts w:cs="Arial"/>
          <w:szCs w:val="24"/>
        </w:rPr>
        <w:t xml:space="preserve">the trend, is to </w:t>
      </w:r>
      <w:r w:rsidR="00E15C87" w:rsidRPr="002A111A">
        <w:rPr>
          <w:rFonts w:cs="Arial"/>
          <w:szCs w:val="24"/>
        </w:rPr>
        <w:t>slightly</w:t>
      </w:r>
      <w:r w:rsidR="0087267B" w:rsidRPr="002A111A">
        <w:rPr>
          <w:rFonts w:cs="Arial"/>
          <w:szCs w:val="24"/>
        </w:rPr>
        <w:t xml:space="preserve"> reduce </w:t>
      </w:r>
      <w:r w:rsidRPr="002A111A">
        <w:rPr>
          <w:rFonts w:cs="Arial"/>
          <w:szCs w:val="24"/>
        </w:rPr>
        <w:t xml:space="preserve">the number of places </w:t>
      </w:r>
      <w:r w:rsidR="00911B6B" w:rsidRPr="002A111A">
        <w:rPr>
          <w:rFonts w:cs="Arial"/>
          <w:szCs w:val="24"/>
        </w:rPr>
        <w:t>in institutions</w:t>
      </w:r>
      <w:r w:rsidRPr="002A111A">
        <w:rPr>
          <w:rFonts w:cs="Arial"/>
          <w:szCs w:val="24"/>
        </w:rPr>
        <w:t xml:space="preserve">. And </w:t>
      </w:r>
      <w:r w:rsidR="007F18B6" w:rsidRPr="002A111A">
        <w:rPr>
          <w:rFonts w:cs="Arial"/>
          <w:szCs w:val="24"/>
        </w:rPr>
        <w:t xml:space="preserve">(the report says) </w:t>
      </w:r>
      <w:r w:rsidRPr="002A111A">
        <w:rPr>
          <w:rFonts w:cs="Arial"/>
          <w:szCs w:val="24"/>
        </w:rPr>
        <w:t xml:space="preserve">we know that the waiting lists to obtain places in </w:t>
      </w:r>
      <w:r w:rsidR="00911B6B" w:rsidRPr="002A111A">
        <w:rPr>
          <w:rFonts w:cs="Arial"/>
          <w:szCs w:val="24"/>
        </w:rPr>
        <w:t>institutions</w:t>
      </w:r>
      <w:r w:rsidR="00911B6B" w:rsidRPr="002A111A" w:rsidDel="00911B6B">
        <w:rPr>
          <w:rFonts w:cs="Arial"/>
          <w:szCs w:val="24"/>
        </w:rPr>
        <w:t xml:space="preserve"> </w:t>
      </w:r>
      <w:r w:rsidRPr="002A111A">
        <w:rPr>
          <w:rFonts w:cs="Arial"/>
          <w:szCs w:val="24"/>
        </w:rPr>
        <w:t xml:space="preserve">are still very long. We do not know the ages of the people who occupy those places in residences. The System for Personal Autonomy and Care for Dependency offers the same range of services to octogenarian people, and to minors </w:t>
      </w:r>
      <w:r w:rsidR="00911B6B" w:rsidRPr="002A111A">
        <w:rPr>
          <w:rFonts w:cs="Arial"/>
          <w:szCs w:val="24"/>
        </w:rPr>
        <w:t xml:space="preserve">and </w:t>
      </w:r>
      <w:r w:rsidRPr="002A111A">
        <w:rPr>
          <w:rFonts w:cs="Arial"/>
          <w:szCs w:val="24"/>
        </w:rPr>
        <w:t xml:space="preserve">young people who are just beginning their lives. </w:t>
      </w:r>
      <w:r w:rsidR="008F6915" w:rsidRPr="002A111A">
        <w:rPr>
          <w:rFonts w:cs="Arial"/>
          <w:szCs w:val="24"/>
        </w:rPr>
        <w:t>The</w:t>
      </w:r>
      <w:r w:rsidR="00F1487D" w:rsidRPr="002A111A">
        <w:rPr>
          <w:rFonts w:cs="Arial"/>
          <w:szCs w:val="24"/>
        </w:rPr>
        <w:t xml:space="preserve"> </w:t>
      </w:r>
      <w:r w:rsidR="00911B6B" w:rsidRPr="002A111A">
        <w:rPr>
          <w:rFonts w:cs="Arial"/>
          <w:szCs w:val="24"/>
        </w:rPr>
        <w:t xml:space="preserve">type of benefit is not broken </w:t>
      </w:r>
      <w:r w:rsidRPr="002A111A">
        <w:rPr>
          <w:rFonts w:cs="Arial"/>
          <w:szCs w:val="24"/>
        </w:rPr>
        <w:t xml:space="preserve">down by age or type of </w:t>
      </w:r>
      <w:r w:rsidRPr="002A111A">
        <w:rPr>
          <w:rFonts w:cs="Arial"/>
          <w:szCs w:val="24"/>
        </w:rPr>
        <w:lastRenderedPageBreak/>
        <w:t xml:space="preserve">disability. We also do not know if it is </w:t>
      </w:r>
      <w:r w:rsidR="001D4228" w:rsidRPr="002A111A">
        <w:rPr>
          <w:rFonts w:cs="Arial"/>
          <w:szCs w:val="24"/>
        </w:rPr>
        <w:t xml:space="preserve">a </w:t>
      </w:r>
      <w:r w:rsidRPr="002A111A">
        <w:rPr>
          <w:rFonts w:cs="Arial"/>
          <w:szCs w:val="24"/>
        </w:rPr>
        <w:t>person with disabilities who appl</w:t>
      </w:r>
      <w:r w:rsidR="001D4228" w:rsidRPr="002A111A">
        <w:rPr>
          <w:rFonts w:cs="Arial"/>
          <w:szCs w:val="24"/>
        </w:rPr>
        <w:t>ies</w:t>
      </w:r>
      <w:r w:rsidRPr="002A111A">
        <w:rPr>
          <w:rFonts w:cs="Arial"/>
          <w:szCs w:val="24"/>
        </w:rPr>
        <w:t xml:space="preserve"> for a place in </w:t>
      </w:r>
      <w:r w:rsidR="001D4228" w:rsidRPr="002A111A">
        <w:rPr>
          <w:rFonts w:cs="Arial"/>
          <w:szCs w:val="24"/>
        </w:rPr>
        <w:t xml:space="preserve">a </w:t>
      </w:r>
      <w:r w:rsidRPr="002A111A">
        <w:rPr>
          <w:rFonts w:cs="Arial"/>
          <w:szCs w:val="24"/>
        </w:rPr>
        <w:t xml:space="preserve">residence or their legal representatives, when they are minors or are legally incapacitated, nor how many cases </w:t>
      </w:r>
      <w:r w:rsidR="001D4228" w:rsidRPr="002A111A">
        <w:rPr>
          <w:rFonts w:cs="Arial"/>
          <w:szCs w:val="24"/>
        </w:rPr>
        <w:t xml:space="preserve">involve </w:t>
      </w:r>
      <w:r w:rsidRPr="002A111A">
        <w:rPr>
          <w:rFonts w:cs="Arial"/>
          <w:szCs w:val="24"/>
        </w:rPr>
        <w:t xml:space="preserve">involuntary placement </w:t>
      </w:r>
      <w:r w:rsidR="001D4228" w:rsidRPr="002A111A">
        <w:rPr>
          <w:rFonts w:cs="Arial"/>
          <w:szCs w:val="24"/>
        </w:rPr>
        <w:t>(</w:t>
      </w:r>
      <w:r w:rsidR="00337903">
        <w:rPr>
          <w:rFonts w:cs="Arial"/>
          <w:szCs w:val="24"/>
        </w:rPr>
        <w:t>A</w:t>
      </w:r>
      <w:r w:rsidRPr="002A111A">
        <w:rPr>
          <w:rFonts w:cs="Arial"/>
          <w:szCs w:val="24"/>
        </w:rPr>
        <w:t>rticle 763 of the Civil Procedure Act</w:t>
      </w:r>
      <w:r w:rsidR="00111156" w:rsidRPr="002A111A">
        <w:rPr>
          <w:rFonts w:cs="Arial"/>
          <w:szCs w:val="24"/>
        </w:rPr>
        <w:t>).</w:t>
      </w:r>
      <w:r w:rsidR="00D97355" w:rsidRPr="002A111A">
        <w:rPr>
          <w:rStyle w:val="FootnoteReference"/>
          <w:rFonts w:cs="Arial"/>
          <w:sz w:val="24"/>
          <w:szCs w:val="24"/>
        </w:rPr>
        <w:footnoteReference w:id="17"/>
      </w:r>
      <w:r w:rsidR="003A4986" w:rsidRPr="002A111A">
        <w:rPr>
          <w:rFonts w:cs="Arial"/>
          <w:szCs w:val="24"/>
        </w:rPr>
        <w:t xml:space="preserve"> Yet, according to data included in Table 2, whereas at-home services (e.g. telecare, home help) and some financial aid linked to services (Economic benefit linked to service) have increased, the economic benefits aimed at families have experienced a significant reduction. </w:t>
      </w:r>
      <w:r w:rsidR="00C558F1" w:rsidRPr="002A111A">
        <w:rPr>
          <w:rFonts w:cs="Arial"/>
          <w:szCs w:val="24"/>
        </w:rPr>
        <w:t xml:space="preserve">In some instances, the reduction of economic aids associated to the Spanish financial crisis could help explain those changes. </w:t>
      </w:r>
    </w:p>
    <w:p w14:paraId="38EF03EF" w14:textId="47256CCE" w:rsidR="004E08D9" w:rsidRPr="002A111A" w:rsidRDefault="004E08D9" w:rsidP="00B446F1">
      <w:pPr>
        <w:rPr>
          <w:rFonts w:cs="Arial"/>
          <w:szCs w:val="24"/>
        </w:rPr>
      </w:pPr>
    </w:p>
    <w:p w14:paraId="01CC0803" w14:textId="5E63F0AD" w:rsidR="004E08D9" w:rsidRPr="002A111A" w:rsidRDefault="004E08D9" w:rsidP="00B446F1">
      <w:pPr>
        <w:rPr>
          <w:rFonts w:cs="Arial"/>
          <w:szCs w:val="24"/>
        </w:rPr>
      </w:pPr>
      <w:r w:rsidRPr="002A111A">
        <w:rPr>
          <w:rFonts w:cs="Arial"/>
          <w:szCs w:val="24"/>
        </w:rPr>
        <w:t xml:space="preserve">Table 2. </w:t>
      </w:r>
      <w:r w:rsidR="00DF3C6C" w:rsidRPr="002A111A">
        <w:rPr>
          <w:rFonts w:cs="Arial"/>
          <w:szCs w:val="24"/>
        </w:rPr>
        <w:t>B</w:t>
      </w:r>
      <w:r w:rsidRPr="002A111A">
        <w:rPr>
          <w:rFonts w:cs="Arial"/>
          <w:szCs w:val="24"/>
        </w:rPr>
        <w:t>eneficiaries and types o</w:t>
      </w:r>
      <w:r w:rsidR="003A4986" w:rsidRPr="002A111A">
        <w:rPr>
          <w:rFonts w:cs="Arial"/>
          <w:szCs w:val="24"/>
        </w:rPr>
        <w:t>f</w:t>
      </w:r>
      <w:r w:rsidRPr="002A111A">
        <w:rPr>
          <w:rFonts w:cs="Arial"/>
          <w:szCs w:val="24"/>
        </w:rPr>
        <w:t xml:space="preserve"> services (years 2013-2019)</w:t>
      </w:r>
    </w:p>
    <w:tbl>
      <w:tblPr>
        <w:tblStyle w:val="TableGrid"/>
        <w:tblW w:w="5165" w:type="pct"/>
        <w:tblLayout w:type="fixed"/>
        <w:tblLook w:val="04A0" w:firstRow="1" w:lastRow="0" w:firstColumn="1" w:lastColumn="0" w:noHBand="0" w:noVBand="1"/>
      </w:tblPr>
      <w:tblGrid>
        <w:gridCol w:w="2131"/>
        <w:gridCol w:w="990"/>
        <w:gridCol w:w="990"/>
        <w:gridCol w:w="991"/>
        <w:gridCol w:w="991"/>
        <w:gridCol w:w="991"/>
        <w:gridCol w:w="1133"/>
        <w:gridCol w:w="1135"/>
      </w:tblGrid>
      <w:tr w:rsidR="00111156" w:rsidRPr="008B6471" w14:paraId="39A3E105" w14:textId="77777777" w:rsidTr="008B6471">
        <w:trPr>
          <w:trHeight w:val="290"/>
        </w:trPr>
        <w:tc>
          <w:tcPr>
            <w:tcW w:w="1139" w:type="pct"/>
            <w:noWrap/>
            <w:hideMark/>
          </w:tcPr>
          <w:p w14:paraId="4E216E5F" w14:textId="77777777" w:rsidR="001E08D2" w:rsidRPr="008B6471" w:rsidRDefault="001E08D2" w:rsidP="00EE2C62">
            <w:pPr>
              <w:jc w:val="left"/>
              <w:rPr>
                <w:rFonts w:cs="Arial"/>
                <w:sz w:val="20"/>
                <w:lang w:eastAsia="es-ES"/>
              </w:rPr>
            </w:pPr>
          </w:p>
        </w:tc>
        <w:tc>
          <w:tcPr>
            <w:tcW w:w="529" w:type="pct"/>
            <w:noWrap/>
            <w:hideMark/>
          </w:tcPr>
          <w:p w14:paraId="73941198" w14:textId="77777777" w:rsidR="001E08D2" w:rsidRPr="008B6471" w:rsidRDefault="001E08D2" w:rsidP="00B446F1">
            <w:pPr>
              <w:jc w:val="right"/>
              <w:rPr>
                <w:rFonts w:cs="Arial"/>
                <w:b/>
                <w:color w:val="000000"/>
                <w:sz w:val="20"/>
                <w:lang w:eastAsia="es-ES"/>
              </w:rPr>
            </w:pPr>
            <w:r w:rsidRPr="008B6471">
              <w:rPr>
                <w:rFonts w:cs="Arial"/>
                <w:b/>
                <w:color w:val="000000"/>
                <w:sz w:val="20"/>
                <w:lang w:eastAsia="es-ES"/>
              </w:rPr>
              <w:t>2013</w:t>
            </w:r>
          </w:p>
        </w:tc>
        <w:tc>
          <w:tcPr>
            <w:tcW w:w="529" w:type="pct"/>
            <w:noWrap/>
            <w:hideMark/>
          </w:tcPr>
          <w:p w14:paraId="1273E151" w14:textId="77777777" w:rsidR="001E08D2" w:rsidRPr="008B6471" w:rsidRDefault="001E08D2" w:rsidP="00B446F1">
            <w:pPr>
              <w:jc w:val="right"/>
              <w:rPr>
                <w:rFonts w:cs="Arial"/>
                <w:b/>
                <w:color w:val="000000"/>
                <w:sz w:val="20"/>
                <w:lang w:eastAsia="es-ES"/>
              </w:rPr>
            </w:pPr>
            <w:r w:rsidRPr="008B6471">
              <w:rPr>
                <w:rFonts w:cs="Arial"/>
                <w:b/>
                <w:color w:val="000000"/>
                <w:sz w:val="20"/>
                <w:lang w:eastAsia="es-ES"/>
              </w:rPr>
              <w:t>2014</w:t>
            </w:r>
          </w:p>
        </w:tc>
        <w:tc>
          <w:tcPr>
            <w:tcW w:w="530" w:type="pct"/>
            <w:noWrap/>
            <w:hideMark/>
          </w:tcPr>
          <w:p w14:paraId="0297A5E3" w14:textId="77777777" w:rsidR="001E08D2" w:rsidRPr="008B6471" w:rsidRDefault="001E08D2" w:rsidP="00B446F1">
            <w:pPr>
              <w:jc w:val="right"/>
              <w:rPr>
                <w:rFonts w:cs="Arial"/>
                <w:b/>
                <w:color w:val="000000"/>
                <w:sz w:val="20"/>
                <w:lang w:eastAsia="es-ES"/>
              </w:rPr>
            </w:pPr>
            <w:r w:rsidRPr="008B6471">
              <w:rPr>
                <w:rFonts w:cs="Arial"/>
                <w:b/>
                <w:color w:val="000000"/>
                <w:sz w:val="20"/>
                <w:lang w:eastAsia="es-ES"/>
              </w:rPr>
              <w:t>2015</w:t>
            </w:r>
          </w:p>
        </w:tc>
        <w:tc>
          <w:tcPr>
            <w:tcW w:w="530" w:type="pct"/>
            <w:noWrap/>
            <w:hideMark/>
          </w:tcPr>
          <w:p w14:paraId="0EC3B78E" w14:textId="77777777" w:rsidR="001E08D2" w:rsidRPr="008B6471" w:rsidRDefault="001E08D2" w:rsidP="00B446F1">
            <w:pPr>
              <w:jc w:val="right"/>
              <w:rPr>
                <w:rFonts w:cs="Arial"/>
                <w:b/>
                <w:color w:val="000000"/>
                <w:sz w:val="20"/>
                <w:lang w:eastAsia="es-ES"/>
              </w:rPr>
            </w:pPr>
            <w:r w:rsidRPr="008B6471">
              <w:rPr>
                <w:rFonts w:cs="Arial"/>
                <w:b/>
                <w:color w:val="000000"/>
                <w:sz w:val="20"/>
                <w:lang w:eastAsia="es-ES"/>
              </w:rPr>
              <w:t>2016</w:t>
            </w:r>
          </w:p>
        </w:tc>
        <w:tc>
          <w:tcPr>
            <w:tcW w:w="530" w:type="pct"/>
            <w:noWrap/>
            <w:hideMark/>
          </w:tcPr>
          <w:p w14:paraId="05657E03" w14:textId="77777777" w:rsidR="001E08D2" w:rsidRPr="008B6471" w:rsidRDefault="001E08D2" w:rsidP="00B446F1">
            <w:pPr>
              <w:jc w:val="right"/>
              <w:rPr>
                <w:rFonts w:cs="Arial"/>
                <w:b/>
                <w:color w:val="000000"/>
                <w:sz w:val="20"/>
                <w:lang w:eastAsia="es-ES"/>
              </w:rPr>
            </w:pPr>
            <w:r w:rsidRPr="008B6471">
              <w:rPr>
                <w:rFonts w:cs="Arial"/>
                <w:b/>
                <w:color w:val="000000"/>
                <w:sz w:val="20"/>
                <w:lang w:eastAsia="es-ES"/>
              </w:rPr>
              <w:t>2017</w:t>
            </w:r>
          </w:p>
        </w:tc>
        <w:tc>
          <w:tcPr>
            <w:tcW w:w="606" w:type="pct"/>
            <w:noWrap/>
            <w:hideMark/>
          </w:tcPr>
          <w:p w14:paraId="219FDEC8" w14:textId="77777777" w:rsidR="001E08D2" w:rsidRPr="008B6471" w:rsidRDefault="001E08D2" w:rsidP="00B446F1">
            <w:pPr>
              <w:jc w:val="right"/>
              <w:rPr>
                <w:rFonts w:cs="Arial"/>
                <w:b/>
                <w:color w:val="000000"/>
                <w:sz w:val="20"/>
                <w:lang w:eastAsia="es-ES"/>
              </w:rPr>
            </w:pPr>
            <w:r w:rsidRPr="008B6471">
              <w:rPr>
                <w:rFonts w:cs="Arial"/>
                <w:b/>
                <w:color w:val="000000"/>
                <w:sz w:val="20"/>
                <w:lang w:eastAsia="es-ES"/>
              </w:rPr>
              <w:t>2018</w:t>
            </w:r>
          </w:p>
        </w:tc>
        <w:tc>
          <w:tcPr>
            <w:tcW w:w="607" w:type="pct"/>
            <w:noWrap/>
            <w:hideMark/>
          </w:tcPr>
          <w:p w14:paraId="0D326026" w14:textId="77777777" w:rsidR="001E08D2" w:rsidRPr="008B6471" w:rsidRDefault="001E08D2" w:rsidP="00B446F1">
            <w:pPr>
              <w:jc w:val="right"/>
              <w:rPr>
                <w:rFonts w:cs="Arial"/>
                <w:b/>
                <w:color w:val="000000"/>
                <w:sz w:val="20"/>
                <w:lang w:eastAsia="es-ES"/>
              </w:rPr>
            </w:pPr>
            <w:r w:rsidRPr="008B6471">
              <w:rPr>
                <w:rFonts w:cs="Arial"/>
                <w:b/>
                <w:color w:val="000000"/>
                <w:sz w:val="20"/>
                <w:lang w:eastAsia="es-ES"/>
              </w:rPr>
              <w:t>2019</w:t>
            </w:r>
          </w:p>
        </w:tc>
      </w:tr>
      <w:tr w:rsidR="00111156" w:rsidRPr="008B6471" w14:paraId="41F3B805" w14:textId="77777777" w:rsidTr="008B6471">
        <w:trPr>
          <w:trHeight w:val="290"/>
        </w:trPr>
        <w:tc>
          <w:tcPr>
            <w:tcW w:w="1139" w:type="pct"/>
            <w:noWrap/>
            <w:hideMark/>
          </w:tcPr>
          <w:p w14:paraId="57C77D1F" w14:textId="77777777" w:rsidR="001E08D2" w:rsidRPr="008B6471" w:rsidRDefault="001E08D2" w:rsidP="00EE2C62">
            <w:pPr>
              <w:jc w:val="left"/>
              <w:rPr>
                <w:rFonts w:cs="Arial"/>
                <w:color w:val="000000"/>
                <w:sz w:val="20"/>
                <w:lang w:eastAsia="es-ES"/>
              </w:rPr>
            </w:pPr>
            <w:r w:rsidRPr="008B6471">
              <w:rPr>
                <w:rFonts w:cs="Arial"/>
                <w:color w:val="000000"/>
                <w:sz w:val="20"/>
                <w:lang w:eastAsia="es-ES"/>
              </w:rPr>
              <w:t>Beneficiaries</w:t>
            </w:r>
          </w:p>
        </w:tc>
        <w:tc>
          <w:tcPr>
            <w:tcW w:w="529" w:type="pct"/>
            <w:noWrap/>
            <w:hideMark/>
          </w:tcPr>
          <w:p w14:paraId="1B17FC2F" w14:textId="6B6C0E8D" w:rsidR="001E08D2" w:rsidRPr="008B6471" w:rsidRDefault="001E08D2" w:rsidP="00B446F1">
            <w:pPr>
              <w:jc w:val="right"/>
              <w:rPr>
                <w:rFonts w:cs="Arial"/>
                <w:color w:val="000000"/>
                <w:sz w:val="20"/>
                <w:lang w:eastAsia="es-ES"/>
              </w:rPr>
            </w:pPr>
            <w:r w:rsidRPr="008B6471">
              <w:rPr>
                <w:rFonts w:cs="Arial"/>
                <w:color w:val="000000"/>
                <w:sz w:val="20"/>
                <w:lang w:eastAsia="es-ES"/>
              </w:rPr>
              <w:t>75</w:t>
            </w:r>
            <w:r w:rsidR="00111156" w:rsidRPr="008B6471">
              <w:rPr>
                <w:rFonts w:cs="Arial"/>
                <w:color w:val="000000"/>
                <w:sz w:val="20"/>
                <w:lang w:eastAsia="es-ES"/>
              </w:rPr>
              <w:t>,</w:t>
            </w:r>
            <w:r w:rsidRPr="008B6471">
              <w:rPr>
                <w:rFonts w:cs="Arial"/>
                <w:color w:val="000000"/>
                <w:sz w:val="20"/>
                <w:lang w:eastAsia="es-ES"/>
              </w:rPr>
              <w:t>3842</w:t>
            </w:r>
          </w:p>
        </w:tc>
        <w:tc>
          <w:tcPr>
            <w:tcW w:w="529" w:type="pct"/>
            <w:noWrap/>
            <w:hideMark/>
          </w:tcPr>
          <w:p w14:paraId="02325C76" w14:textId="1E58E11F" w:rsidR="001E08D2" w:rsidRPr="008B6471" w:rsidRDefault="001E08D2" w:rsidP="00B446F1">
            <w:pPr>
              <w:jc w:val="right"/>
              <w:rPr>
                <w:rFonts w:cs="Arial"/>
                <w:color w:val="000000"/>
                <w:sz w:val="20"/>
                <w:lang w:eastAsia="es-ES"/>
              </w:rPr>
            </w:pPr>
            <w:r w:rsidRPr="008B6471">
              <w:rPr>
                <w:rFonts w:cs="Arial"/>
                <w:color w:val="000000"/>
                <w:sz w:val="20"/>
                <w:lang w:eastAsia="es-ES"/>
              </w:rPr>
              <w:t>745</w:t>
            </w:r>
            <w:r w:rsidR="00111156" w:rsidRPr="008B6471">
              <w:rPr>
                <w:rFonts w:cs="Arial"/>
                <w:color w:val="000000"/>
                <w:sz w:val="20"/>
                <w:lang w:eastAsia="es-ES"/>
              </w:rPr>
              <w:t>,</w:t>
            </w:r>
            <w:r w:rsidRPr="008B6471">
              <w:rPr>
                <w:rFonts w:cs="Arial"/>
                <w:color w:val="000000"/>
                <w:sz w:val="20"/>
                <w:lang w:eastAsia="es-ES"/>
              </w:rPr>
              <w:t>720</w:t>
            </w:r>
          </w:p>
        </w:tc>
        <w:tc>
          <w:tcPr>
            <w:tcW w:w="530" w:type="pct"/>
            <w:noWrap/>
            <w:hideMark/>
          </w:tcPr>
          <w:p w14:paraId="6111D5FC" w14:textId="52C12EC3" w:rsidR="001E08D2" w:rsidRPr="008B6471" w:rsidRDefault="001E08D2" w:rsidP="00B446F1">
            <w:pPr>
              <w:jc w:val="right"/>
              <w:rPr>
                <w:rFonts w:cs="Arial"/>
                <w:color w:val="000000"/>
                <w:sz w:val="20"/>
                <w:lang w:eastAsia="es-ES"/>
              </w:rPr>
            </w:pPr>
            <w:r w:rsidRPr="008B6471">
              <w:rPr>
                <w:rFonts w:cs="Arial"/>
                <w:color w:val="000000"/>
                <w:sz w:val="20"/>
                <w:lang w:eastAsia="es-ES"/>
              </w:rPr>
              <w:t>796</w:t>
            </w:r>
            <w:r w:rsidR="00111156" w:rsidRPr="008B6471">
              <w:rPr>
                <w:rFonts w:cs="Arial"/>
                <w:color w:val="000000"/>
                <w:sz w:val="20"/>
                <w:lang w:eastAsia="es-ES"/>
              </w:rPr>
              <w:t>,</w:t>
            </w:r>
            <w:r w:rsidRPr="008B6471">
              <w:rPr>
                <w:rFonts w:cs="Arial"/>
                <w:color w:val="000000"/>
                <w:sz w:val="20"/>
                <w:lang w:eastAsia="es-ES"/>
              </w:rPr>
              <w:t>109</w:t>
            </w:r>
          </w:p>
        </w:tc>
        <w:tc>
          <w:tcPr>
            <w:tcW w:w="530" w:type="pct"/>
            <w:noWrap/>
            <w:hideMark/>
          </w:tcPr>
          <w:p w14:paraId="044B0A75" w14:textId="090FDAD4" w:rsidR="001E08D2" w:rsidRPr="008B6471" w:rsidRDefault="001E08D2" w:rsidP="00B446F1">
            <w:pPr>
              <w:jc w:val="right"/>
              <w:rPr>
                <w:rFonts w:cs="Arial"/>
                <w:color w:val="000000"/>
                <w:sz w:val="20"/>
                <w:lang w:eastAsia="es-ES"/>
              </w:rPr>
            </w:pPr>
            <w:r w:rsidRPr="008B6471">
              <w:rPr>
                <w:rFonts w:cs="Arial"/>
                <w:color w:val="000000"/>
                <w:sz w:val="20"/>
                <w:lang w:eastAsia="es-ES"/>
              </w:rPr>
              <w:t>865</w:t>
            </w:r>
            <w:r w:rsidR="00111156" w:rsidRPr="008B6471">
              <w:rPr>
                <w:rFonts w:cs="Arial"/>
                <w:color w:val="000000"/>
                <w:sz w:val="20"/>
                <w:lang w:eastAsia="es-ES"/>
              </w:rPr>
              <w:t>,</w:t>
            </w:r>
            <w:r w:rsidRPr="008B6471">
              <w:rPr>
                <w:rFonts w:cs="Arial"/>
                <w:color w:val="000000"/>
                <w:sz w:val="20"/>
                <w:lang w:eastAsia="es-ES"/>
              </w:rPr>
              <w:t>564</w:t>
            </w:r>
          </w:p>
        </w:tc>
        <w:tc>
          <w:tcPr>
            <w:tcW w:w="530" w:type="pct"/>
            <w:noWrap/>
            <w:hideMark/>
          </w:tcPr>
          <w:p w14:paraId="4DDCCFD1" w14:textId="0D400412" w:rsidR="001E08D2" w:rsidRPr="008B6471" w:rsidRDefault="001E08D2" w:rsidP="00B446F1">
            <w:pPr>
              <w:jc w:val="right"/>
              <w:rPr>
                <w:rFonts w:cs="Arial"/>
                <w:color w:val="000000"/>
                <w:sz w:val="20"/>
                <w:lang w:eastAsia="es-ES"/>
              </w:rPr>
            </w:pPr>
            <w:r w:rsidRPr="008B6471">
              <w:rPr>
                <w:rFonts w:cs="Arial"/>
                <w:color w:val="000000"/>
                <w:sz w:val="20"/>
                <w:lang w:eastAsia="es-ES"/>
              </w:rPr>
              <w:t>954</w:t>
            </w:r>
            <w:r w:rsidR="00111156" w:rsidRPr="008B6471">
              <w:rPr>
                <w:rFonts w:cs="Arial"/>
                <w:color w:val="000000"/>
                <w:sz w:val="20"/>
                <w:lang w:eastAsia="es-ES"/>
              </w:rPr>
              <w:t>,</w:t>
            </w:r>
            <w:r w:rsidRPr="008B6471">
              <w:rPr>
                <w:rFonts w:cs="Arial"/>
                <w:color w:val="000000"/>
                <w:sz w:val="20"/>
                <w:lang w:eastAsia="es-ES"/>
              </w:rPr>
              <w:t>831</w:t>
            </w:r>
          </w:p>
        </w:tc>
        <w:tc>
          <w:tcPr>
            <w:tcW w:w="606" w:type="pct"/>
            <w:noWrap/>
            <w:hideMark/>
          </w:tcPr>
          <w:p w14:paraId="2B1D704D" w14:textId="0CF6F52D" w:rsidR="001E08D2" w:rsidRPr="008B6471" w:rsidRDefault="001E08D2" w:rsidP="00B446F1">
            <w:pPr>
              <w:jc w:val="right"/>
              <w:rPr>
                <w:rFonts w:cs="Arial"/>
                <w:color w:val="000000"/>
                <w:sz w:val="20"/>
                <w:lang w:eastAsia="es-ES"/>
              </w:rPr>
            </w:pPr>
            <w:r w:rsidRPr="008B6471">
              <w:rPr>
                <w:rFonts w:cs="Arial"/>
                <w:color w:val="000000"/>
                <w:sz w:val="20"/>
                <w:lang w:eastAsia="es-ES"/>
              </w:rPr>
              <w:t>1</w:t>
            </w:r>
            <w:r w:rsidR="00111156" w:rsidRPr="008B6471">
              <w:rPr>
                <w:rFonts w:cs="Arial"/>
                <w:color w:val="000000"/>
                <w:sz w:val="20"/>
                <w:lang w:eastAsia="es-ES"/>
              </w:rPr>
              <w:t>,</w:t>
            </w:r>
            <w:r w:rsidRPr="008B6471">
              <w:rPr>
                <w:rFonts w:cs="Arial"/>
                <w:color w:val="000000"/>
                <w:sz w:val="20"/>
                <w:lang w:eastAsia="es-ES"/>
              </w:rPr>
              <w:t>054</w:t>
            </w:r>
            <w:r w:rsidR="00111156" w:rsidRPr="008B6471">
              <w:rPr>
                <w:rFonts w:cs="Arial"/>
                <w:color w:val="000000"/>
                <w:sz w:val="20"/>
                <w:lang w:eastAsia="es-ES"/>
              </w:rPr>
              <w:t>,</w:t>
            </w:r>
            <w:r w:rsidRPr="008B6471">
              <w:rPr>
                <w:rFonts w:cs="Arial"/>
                <w:color w:val="000000"/>
                <w:sz w:val="20"/>
                <w:lang w:eastAsia="es-ES"/>
              </w:rPr>
              <w:t>275</w:t>
            </w:r>
          </w:p>
        </w:tc>
        <w:tc>
          <w:tcPr>
            <w:tcW w:w="607" w:type="pct"/>
            <w:noWrap/>
            <w:hideMark/>
          </w:tcPr>
          <w:p w14:paraId="2369F89D" w14:textId="0A37D11C" w:rsidR="001E08D2" w:rsidRPr="008B6471" w:rsidRDefault="001E08D2" w:rsidP="00B446F1">
            <w:pPr>
              <w:jc w:val="right"/>
              <w:rPr>
                <w:rFonts w:cs="Arial"/>
                <w:color w:val="000000"/>
                <w:sz w:val="20"/>
                <w:lang w:eastAsia="es-ES"/>
              </w:rPr>
            </w:pPr>
            <w:r w:rsidRPr="008B6471">
              <w:rPr>
                <w:rFonts w:cs="Arial"/>
                <w:color w:val="000000"/>
                <w:sz w:val="20"/>
                <w:lang w:eastAsia="es-ES"/>
              </w:rPr>
              <w:t>1057</w:t>
            </w:r>
            <w:r w:rsidR="00111156" w:rsidRPr="008B6471">
              <w:rPr>
                <w:rFonts w:cs="Arial"/>
                <w:color w:val="000000"/>
                <w:sz w:val="20"/>
                <w:lang w:eastAsia="es-ES"/>
              </w:rPr>
              <w:t>,</w:t>
            </w:r>
            <w:r w:rsidRPr="008B6471">
              <w:rPr>
                <w:rFonts w:cs="Arial"/>
                <w:color w:val="000000"/>
                <w:sz w:val="20"/>
                <w:lang w:eastAsia="es-ES"/>
              </w:rPr>
              <w:t>190</w:t>
            </w:r>
          </w:p>
        </w:tc>
      </w:tr>
      <w:tr w:rsidR="00111156" w:rsidRPr="008B6471" w14:paraId="27CE28FC" w14:textId="77777777" w:rsidTr="008B6471">
        <w:trPr>
          <w:trHeight w:val="290"/>
        </w:trPr>
        <w:tc>
          <w:tcPr>
            <w:tcW w:w="1139" w:type="pct"/>
            <w:noWrap/>
            <w:hideMark/>
          </w:tcPr>
          <w:p w14:paraId="6F1684E0" w14:textId="77777777" w:rsidR="001E08D2" w:rsidRPr="008B6471" w:rsidRDefault="001E08D2" w:rsidP="00EE2C62">
            <w:pPr>
              <w:jc w:val="left"/>
              <w:rPr>
                <w:rFonts w:cs="Arial"/>
                <w:color w:val="000000"/>
                <w:sz w:val="20"/>
                <w:lang w:eastAsia="es-ES"/>
              </w:rPr>
            </w:pPr>
            <w:r w:rsidRPr="008B6471">
              <w:rPr>
                <w:rFonts w:cs="Arial"/>
                <w:color w:val="000000"/>
                <w:sz w:val="20"/>
                <w:lang w:eastAsia="es-ES"/>
              </w:rPr>
              <w:t>Prevention Dependence and Promotion of Personal Autonomy</w:t>
            </w:r>
          </w:p>
        </w:tc>
        <w:tc>
          <w:tcPr>
            <w:tcW w:w="529" w:type="pct"/>
            <w:noWrap/>
            <w:hideMark/>
          </w:tcPr>
          <w:p w14:paraId="4DF4650F" w14:textId="6F259760" w:rsidR="001E08D2" w:rsidRPr="008B6471" w:rsidRDefault="001E08D2" w:rsidP="00B446F1">
            <w:pPr>
              <w:jc w:val="right"/>
              <w:rPr>
                <w:rFonts w:cs="Arial"/>
                <w:color w:val="000000"/>
                <w:sz w:val="20"/>
                <w:lang w:eastAsia="es-ES"/>
              </w:rPr>
            </w:pPr>
            <w:r w:rsidRPr="008B6471">
              <w:rPr>
                <w:rFonts w:cs="Arial"/>
                <w:color w:val="000000"/>
                <w:sz w:val="20"/>
                <w:lang w:eastAsia="es-ES"/>
              </w:rPr>
              <w:t>2</w:t>
            </w:r>
            <w:r w:rsidR="004E08D9" w:rsidRPr="008B6471">
              <w:rPr>
                <w:rFonts w:cs="Arial"/>
                <w:color w:val="000000"/>
                <w:sz w:val="20"/>
                <w:lang w:eastAsia="es-ES"/>
              </w:rPr>
              <w:t>.</w:t>
            </w:r>
            <w:r w:rsidRPr="008B6471">
              <w:rPr>
                <w:rFonts w:cs="Arial"/>
                <w:color w:val="000000"/>
                <w:sz w:val="20"/>
                <w:lang w:eastAsia="es-ES"/>
              </w:rPr>
              <w:t>2</w:t>
            </w:r>
          </w:p>
        </w:tc>
        <w:tc>
          <w:tcPr>
            <w:tcW w:w="529" w:type="pct"/>
            <w:noWrap/>
            <w:hideMark/>
          </w:tcPr>
          <w:p w14:paraId="33D5C8A4" w14:textId="31ADC2B5" w:rsidR="001E08D2" w:rsidRPr="008B6471" w:rsidRDefault="001E08D2" w:rsidP="00B446F1">
            <w:pPr>
              <w:jc w:val="right"/>
              <w:rPr>
                <w:rFonts w:cs="Arial"/>
                <w:color w:val="000000"/>
                <w:sz w:val="20"/>
                <w:lang w:eastAsia="es-ES"/>
              </w:rPr>
            </w:pPr>
            <w:r w:rsidRPr="008B6471">
              <w:rPr>
                <w:rFonts w:cs="Arial"/>
                <w:color w:val="000000"/>
                <w:sz w:val="20"/>
                <w:lang w:eastAsia="es-ES"/>
              </w:rPr>
              <w:t>2</w:t>
            </w:r>
            <w:r w:rsidR="004E08D9" w:rsidRPr="008B6471">
              <w:rPr>
                <w:rFonts w:cs="Arial"/>
                <w:color w:val="000000"/>
                <w:sz w:val="20"/>
                <w:lang w:eastAsia="es-ES"/>
              </w:rPr>
              <w:t>.</w:t>
            </w:r>
            <w:r w:rsidRPr="008B6471">
              <w:rPr>
                <w:rFonts w:cs="Arial"/>
                <w:color w:val="000000"/>
                <w:sz w:val="20"/>
                <w:lang w:eastAsia="es-ES"/>
              </w:rPr>
              <w:t>5</w:t>
            </w:r>
          </w:p>
        </w:tc>
        <w:tc>
          <w:tcPr>
            <w:tcW w:w="530" w:type="pct"/>
            <w:noWrap/>
            <w:hideMark/>
          </w:tcPr>
          <w:p w14:paraId="2B7F0D67" w14:textId="6DEA8F89" w:rsidR="001E08D2" w:rsidRPr="008B6471" w:rsidRDefault="001E08D2" w:rsidP="00B446F1">
            <w:pPr>
              <w:jc w:val="right"/>
              <w:rPr>
                <w:rFonts w:cs="Arial"/>
                <w:color w:val="000000"/>
                <w:sz w:val="20"/>
                <w:lang w:eastAsia="es-ES"/>
              </w:rPr>
            </w:pPr>
            <w:r w:rsidRPr="008B6471">
              <w:rPr>
                <w:rFonts w:cs="Arial"/>
                <w:color w:val="000000"/>
                <w:sz w:val="20"/>
                <w:lang w:eastAsia="es-ES"/>
              </w:rPr>
              <w:t>3</w:t>
            </w:r>
            <w:r w:rsidR="004E08D9" w:rsidRPr="008B6471">
              <w:rPr>
                <w:rFonts w:cs="Arial"/>
                <w:color w:val="000000"/>
                <w:sz w:val="20"/>
                <w:lang w:eastAsia="es-ES"/>
              </w:rPr>
              <w:t>.</w:t>
            </w:r>
            <w:r w:rsidRPr="008B6471">
              <w:rPr>
                <w:rFonts w:cs="Arial"/>
                <w:color w:val="000000"/>
                <w:sz w:val="20"/>
                <w:lang w:eastAsia="es-ES"/>
              </w:rPr>
              <w:t>0</w:t>
            </w:r>
          </w:p>
        </w:tc>
        <w:tc>
          <w:tcPr>
            <w:tcW w:w="530" w:type="pct"/>
            <w:noWrap/>
            <w:hideMark/>
          </w:tcPr>
          <w:p w14:paraId="4431E962" w14:textId="1A1634FB" w:rsidR="001E08D2" w:rsidRPr="008B6471" w:rsidRDefault="001E08D2" w:rsidP="00B446F1">
            <w:pPr>
              <w:jc w:val="right"/>
              <w:rPr>
                <w:rFonts w:cs="Arial"/>
                <w:color w:val="000000"/>
                <w:sz w:val="20"/>
                <w:lang w:eastAsia="es-ES"/>
              </w:rPr>
            </w:pPr>
            <w:r w:rsidRPr="008B6471">
              <w:rPr>
                <w:rFonts w:cs="Arial"/>
                <w:color w:val="000000"/>
                <w:sz w:val="20"/>
                <w:lang w:eastAsia="es-ES"/>
              </w:rPr>
              <w:t>3</w:t>
            </w:r>
            <w:r w:rsidR="004E08D9" w:rsidRPr="008B6471">
              <w:rPr>
                <w:rFonts w:cs="Arial"/>
                <w:color w:val="000000"/>
                <w:sz w:val="20"/>
                <w:lang w:eastAsia="es-ES"/>
              </w:rPr>
              <w:t>.</w:t>
            </w:r>
            <w:r w:rsidRPr="008B6471">
              <w:rPr>
                <w:rFonts w:cs="Arial"/>
                <w:color w:val="000000"/>
                <w:sz w:val="20"/>
                <w:lang w:eastAsia="es-ES"/>
              </w:rPr>
              <w:t>6</w:t>
            </w:r>
          </w:p>
        </w:tc>
        <w:tc>
          <w:tcPr>
            <w:tcW w:w="530" w:type="pct"/>
            <w:noWrap/>
            <w:hideMark/>
          </w:tcPr>
          <w:p w14:paraId="49D31A96" w14:textId="24CEB324" w:rsidR="001E08D2" w:rsidRPr="008B6471" w:rsidRDefault="001E08D2" w:rsidP="00B446F1">
            <w:pPr>
              <w:jc w:val="right"/>
              <w:rPr>
                <w:rFonts w:cs="Arial"/>
                <w:color w:val="000000"/>
                <w:sz w:val="20"/>
                <w:lang w:eastAsia="es-ES"/>
              </w:rPr>
            </w:pPr>
            <w:r w:rsidRPr="008B6471">
              <w:rPr>
                <w:rFonts w:cs="Arial"/>
                <w:color w:val="000000"/>
                <w:sz w:val="20"/>
                <w:lang w:eastAsia="es-ES"/>
              </w:rPr>
              <w:t>3</w:t>
            </w:r>
            <w:r w:rsidR="004E08D9" w:rsidRPr="008B6471">
              <w:rPr>
                <w:rFonts w:cs="Arial"/>
                <w:color w:val="000000"/>
                <w:sz w:val="20"/>
                <w:lang w:eastAsia="es-ES"/>
              </w:rPr>
              <w:t>.</w:t>
            </w:r>
            <w:r w:rsidRPr="008B6471">
              <w:rPr>
                <w:rFonts w:cs="Arial"/>
                <w:color w:val="000000"/>
                <w:sz w:val="20"/>
                <w:lang w:eastAsia="es-ES"/>
              </w:rPr>
              <w:t>9</w:t>
            </w:r>
          </w:p>
        </w:tc>
        <w:tc>
          <w:tcPr>
            <w:tcW w:w="606" w:type="pct"/>
            <w:noWrap/>
            <w:hideMark/>
          </w:tcPr>
          <w:p w14:paraId="42AFB8FE" w14:textId="2ED2EF75" w:rsidR="001E08D2" w:rsidRPr="008B6471" w:rsidRDefault="001E08D2" w:rsidP="00B446F1">
            <w:pPr>
              <w:jc w:val="right"/>
              <w:rPr>
                <w:rFonts w:cs="Arial"/>
                <w:color w:val="000000"/>
                <w:sz w:val="20"/>
                <w:lang w:eastAsia="es-ES"/>
              </w:rPr>
            </w:pPr>
            <w:r w:rsidRPr="008B6471">
              <w:rPr>
                <w:rFonts w:cs="Arial"/>
                <w:color w:val="000000"/>
                <w:sz w:val="20"/>
                <w:lang w:eastAsia="es-ES"/>
              </w:rPr>
              <w:t>4</w:t>
            </w:r>
            <w:r w:rsidR="004E08D9" w:rsidRPr="008B6471">
              <w:rPr>
                <w:rFonts w:cs="Arial"/>
                <w:color w:val="000000"/>
                <w:sz w:val="20"/>
                <w:lang w:eastAsia="es-ES"/>
              </w:rPr>
              <w:t>.</w:t>
            </w:r>
            <w:r w:rsidRPr="008B6471">
              <w:rPr>
                <w:rFonts w:cs="Arial"/>
                <w:color w:val="000000"/>
                <w:sz w:val="20"/>
                <w:lang w:eastAsia="es-ES"/>
              </w:rPr>
              <w:t>0</w:t>
            </w:r>
          </w:p>
        </w:tc>
        <w:tc>
          <w:tcPr>
            <w:tcW w:w="607" w:type="pct"/>
            <w:noWrap/>
            <w:hideMark/>
          </w:tcPr>
          <w:p w14:paraId="6A58D392" w14:textId="4308CD73" w:rsidR="001E08D2" w:rsidRPr="008B6471" w:rsidRDefault="001E08D2" w:rsidP="00B446F1">
            <w:pPr>
              <w:jc w:val="right"/>
              <w:rPr>
                <w:rFonts w:cs="Arial"/>
                <w:color w:val="000000"/>
                <w:sz w:val="20"/>
                <w:lang w:eastAsia="es-ES"/>
              </w:rPr>
            </w:pPr>
            <w:r w:rsidRPr="008B6471">
              <w:rPr>
                <w:rFonts w:cs="Arial"/>
                <w:color w:val="000000"/>
                <w:sz w:val="20"/>
                <w:lang w:eastAsia="es-ES"/>
              </w:rPr>
              <w:t>4</w:t>
            </w:r>
            <w:r w:rsidR="004E08D9" w:rsidRPr="008B6471">
              <w:rPr>
                <w:rFonts w:cs="Arial"/>
                <w:color w:val="000000"/>
                <w:sz w:val="20"/>
                <w:lang w:eastAsia="es-ES"/>
              </w:rPr>
              <w:t>.</w:t>
            </w:r>
            <w:r w:rsidRPr="008B6471">
              <w:rPr>
                <w:rFonts w:cs="Arial"/>
                <w:color w:val="000000"/>
                <w:sz w:val="20"/>
                <w:lang w:eastAsia="es-ES"/>
              </w:rPr>
              <w:t>0</w:t>
            </w:r>
          </w:p>
        </w:tc>
      </w:tr>
      <w:tr w:rsidR="00111156" w:rsidRPr="008B6471" w14:paraId="32DEC8B1" w14:textId="77777777" w:rsidTr="008B6471">
        <w:trPr>
          <w:trHeight w:val="290"/>
        </w:trPr>
        <w:tc>
          <w:tcPr>
            <w:tcW w:w="1139" w:type="pct"/>
            <w:noWrap/>
            <w:hideMark/>
          </w:tcPr>
          <w:p w14:paraId="1F8DBF2C" w14:textId="77777777" w:rsidR="001E08D2" w:rsidRPr="008B6471" w:rsidRDefault="001E08D2" w:rsidP="00EE2C62">
            <w:pPr>
              <w:jc w:val="left"/>
              <w:rPr>
                <w:rFonts w:cs="Arial"/>
                <w:color w:val="000000"/>
                <w:sz w:val="20"/>
                <w:lang w:eastAsia="es-ES"/>
              </w:rPr>
            </w:pPr>
            <w:r w:rsidRPr="008B6471">
              <w:rPr>
                <w:rFonts w:cs="Arial"/>
                <w:color w:val="000000"/>
                <w:sz w:val="20"/>
                <w:lang w:eastAsia="es-ES"/>
              </w:rPr>
              <w:t>Telecare</w:t>
            </w:r>
          </w:p>
        </w:tc>
        <w:tc>
          <w:tcPr>
            <w:tcW w:w="529" w:type="pct"/>
            <w:noWrap/>
            <w:hideMark/>
          </w:tcPr>
          <w:p w14:paraId="1BEBAD90" w14:textId="7DD73312" w:rsidR="001E08D2" w:rsidRPr="008B6471" w:rsidRDefault="001E08D2" w:rsidP="00B446F1">
            <w:pPr>
              <w:jc w:val="right"/>
              <w:rPr>
                <w:rFonts w:cs="Arial"/>
                <w:color w:val="000000"/>
                <w:sz w:val="20"/>
                <w:lang w:eastAsia="es-ES"/>
              </w:rPr>
            </w:pPr>
            <w:r w:rsidRPr="008B6471">
              <w:rPr>
                <w:rFonts w:cs="Arial"/>
                <w:color w:val="000000"/>
                <w:sz w:val="20"/>
                <w:lang w:eastAsia="es-ES"/>
              </w:rPr>
              <w:t>12</w:t>
            </w:r>
            <w:r w:rsidR="004E08D9" w:rsidRPr="008B6471">
              <w:rPr>
                <w:rFonts w:cs="Arial"/>
                <w:color w:val="000000"/>
                <w:sz w:val="20"/>
                <w:lang w:eastAsia="es-ES"/>
              </w:rPr>
              <w:t>.</w:t>
            </w:r>
            <w:r w:rsidRPr="008B6471">
              <w:rPr>
                <w:rFonts w:cs="Arial"/>
                <w:color w:val="000000"/>
                <w:sz w:val="20"/>
                <w:lang w:eastAsia="es-ES"/>
              </w:rPr>
              <w:t>7</w:t>
            </w:r>
          </w:p>
        </w:tc>
        <w:tc>
          <w:tcPr>
            <w:tcW w:w="529" w:type="pct"/>
            <w:noWrap/>
            <w:hideMark/>
          </w:tcPr>
          <w:p w14:paraId="3B6E3817" w14:textId="7F62C5B7" w:rsidR="001E08D2" w:rsidRPr="008B6471" w:rsidRDefault="001E08D2" w:rsidP="00B446F1">
            <w:pPr>
              <w:jc w:val="right"/>
              <w:rPr>
                <w:rFonts w:cs="Arial"/>
                <w:color w:val="000000"/>
                <w:sz w:val="20"/>
                <w:lang w:eastAsia="es-ES"/>
              </w:rPr>
            </w:pPr>
            <w:r w:rsidRPr="008B6471">
              <w:rPr>
                <w:rFonts w:cs="Arial"/>
                <w:color w:val="000000"/>
                <w:sz w:val="20"/>
                <w:lang w:eastAsia="es-ES"/>
              </w:rPr>
              <w:t>12</w:t>
            </w:r>
            <w:r w:rsidR="004E08D9" w:rsidRPr="008B6471">
              <w:rPr>
                <w:rFonts w:cs="Arial"/>
                <w:color w:val="000000"/>
                <w:sz w:val="20"/>
                <w:lang w:eastAsia="es-ES"/>
              </w:rPr>
              <w:t>.</w:t>
            </w:r>
            <w:r w:rsidRPr="008B6471">
              <w:rPr>
                <w:rFonts w:cs="Arial"/>
                <w:color w:val="000000"/>
                <w:sz w:val="20"/>
                <w:lang w:eastAsia="es-ES"/>
              </w:rPr>
              <w:t>4</w:t>
            </w:r>
          </w:p>
        </w:tc>
        <w:tc>
          <w:tcPr>
            <w:tcW w:w="530" w:type="pct"/>
            <w:noWrap/>
            <w:hideMark/>
          </w:tcPr>
          <w:p w14:paraId="0E6AAED6" w14:textId="647FCCDF" w:rsidR="001E08D2" w:rsidRPr="008B6471" w:rsidRDefault="001E08D2" w:rsidP="00B446F1">
            <w:pPr>
              <w:jc w:val="right"/>
              <w:rPr>
                <w:rFonts w:cs="Arial"/>
                <w:color w:val="000000"/>
                <w:sz w:val="20"/>
                <w:lang w:eastAsia="es-ES"/>
              </w:rPr>
            </w:pPr>
            <w:r w:rsidRPr="008B6471">
              <w:rPr>
                <w:rFonts w:cs="Arial"/>
                <w:color w:val="000000"/>
                <w:sz w:val="20"/>
                <w:lang w:eastAsia="es-ES"/>
              </w:rPr>
              <w:t>14</w:t>
            </w:r>
            <w:r w:rsidR="004E08D9" w:rsidRPr="008B6471">
              <w:rPr>
                <w:rFonts w:cs="Arial"/>
                <w:color w:val="000000"/>
                <w:sz w:val="20"/>
                <w:lang w:eastAsia="es-ES"/>
              </w:rPr>
              <w:t>.</w:t>
            </w:r>
            <w:r w:rsidRPr="008B6471">
              <w:rPr>
                <w:rFonts w:cs="Arial"/>
                <w:color w:val="000000"/>
                <w:sz w:val="20"/>
                <w:lang w:eastAsia="es-ES"/>
              </w:rPr>
              <w:t>1</w:t>
            </w:r>
          </w:p>
        </w:tc>
        <w:tc>
          <w:tcPr>
            <w:tcW w:w="530" w:type="pct"/>
            <w:noWrap/>
            <w:hideMark/>
          </w:tcPr>
          <w:p w14:paraId="2DC21179" w14:textId="5400C393" w:rsidR="001E08D2" w:rsidRPr="008B6471" w:rsidRDefault="001E08D2" w:rsidP="00B446F1">
            <w:pPr>
              <w:jc w:val="right"/>
              <w:rPr>
                <w:rFonts w:cs="Arial"/>
                <w:color w:val="000000"/>
                <w:sz w:val="20"/>
                <w:lang w:eastAsia="es-ES"/>
              </w:rPr>
            </w:pPr>
            <w:r w:rsidRPr="008B6471">
              <w:rPr>
                <w:rFonts w:cs="Arial"/>
                <w:color w:val="000000"/>
                <w:sz w:val="20"/>
                <w:lang w:eastAsia="es-ES"/>
              </w:rPr>
              <w:t>15</w:t>
            </w:r>
            <w:r w:rsidR="004E08D9" w:rsidRPr="008B6471">
              <w:rPr>
                <w:rFonts w:cs="Arial"/>
                <w:color w:val="000000"/>
                <w:sz w:val="20"/>
                <w:lang w:eastAsia="es-ES"/>
              </w:rPr>
              <w:t>.</w:t>
            </w:r>
            <w:r w:rsidRPr="008B6471">
              <w:rPr>
                <w:rFonts w:cs="Arial"/>
                <w:color w:val="000000"/>
                <w:sz w:val="20"/>
                <w:lang w:eastAsia="es-ES"/>
              </w:rPr>
              <w:t>4</w:t>
            </w:r>
          </w:p>
        </w:tc>
        <w:tc>
          <w:tcPr>
            <w:tcW w:w="530" w:type="pct"/>
            <w:noWrap/>
            <w:hideMark/>
          </w:tcPr>
          <w:p w14:paraId="09251E9C" w14:textId="280539AF" w:rsidR="001E08D2" w:rsidRPr="008B6471" w:rsidRDefault="001E08D2" w:rsidP="00B446F1">
            <w:pPr>
              <w:jc w:val="right"/>
              <w:rPr>
                <w:rFonts w:cs="Arial"/>
                <w:color w:val="000000"/>
                <w:sz w:val="20"/>
                <w:lang w:eastAsia="es-ES"/>
              </w:rPr>
            </w:pPr>
            <w:r w:rsidRPr="008B6471">
              <w:rPr>
                <w:rFonts w:cs="Arial"/>
                <w:color w:val="000000"/>
                <w:sz w:val="20"/>
                <w:lang w:eastAsia="es-ES"/>
              </w:rPr>
              <w:t>15</w:t>
            </w:r>
            <w:r w:rsidR="004E08D9" w:rsidRPr="008B6471">
              <w:rPr>
                <w:rFonts w:cs="Arial"/>
                <w:color w:val="000000"/>
                <w:sz w:val="20"/>
                <w:lang w:eastAsia="es-ES"/>
              </w:rPr>
              <w:t>.</w:t>
            </w:r>
            <w:r w:rsidRPr="008B6471">
              <w:rPr>
                <w:rFonts w:cs="Arial"/>
                <w:color w:val="000000"/>
                <w:sz w:val="20"/>
                <w:lang w:eastAsia="es-ES"/>
              </w:rPr>
              <w:t>8</w:t>
            </w:r>
          </w:p>
        </w:tc>
        <w:tc>
          <w:tcPr>
            <w:tcW w:w="606" w:type="pct"/>
            <w:noWrap/>
            <w:hideMark/>
          </w:tcPr>
          <w:p w14:paraId="7013FD5E" w14:textId="131E7E62" w:rsidR="001E08D2" w:rsidRPr="008B6471" w:rsidRDefault="001E08D2" w:rsidP="00B446F1">
            <w:pPr>
              <w:jc w:val="right"/>
              <w:rPr>
                <w:rFonts w:cs="Arial"/>
                <w:color w:val="000000"/>
                <w:sz w:val="20"/>
                <w:lang w:eastAsia="es-ES"/>
              </w:rPr>
            </w:pPr>
            <w:r w:rsidRPr="008B6471">
              <w:rPr>
                <w:rFonts w:cs="Arial"/>
                <w:color w:val="000000"/>
                <w:sz w:val="20"/>
                <w:lang w:eastAsia="es-ES"/>
              </w:rPr>
              <w:t>17</w:t>
            </w:r>
            <w:r w:rsidR="004E08D9" w:rsidRPr="008B6471">
              <w:rPr>
                <w:rFonts w:cs="Arial"/>
                <w:color w:val="000000"/>
                <w:sz w:val="20"/>
                <w:lang w:eastAsia="es-ES"/>
              </w:rPr>
              <w:t>.</w:t>
            </w:r>
            <w:r w:rsidRPr="008B6471">
              <w:rPr>
                <w:rFonts w:cs="Arial"/>
                <w:color w:val="000000"/>
                <w:sz w:val="20"/>
                <w:lang w:eastAsia="es-ES"/>
              </w:rPr>
              <w:t>0</w:t>
            </w:r>
          </w:p>
        </w:tc>
        <w:tc>
          <w:tcPr>
            <w:tcW w:w="607" w:type="pct"/>
            <w:noWrap/>
            <w:hideMark/>
          </w:tcPr>
          <w:p w14:paraId="49EBEFEA" w14:textId="0B9D8219" w:rsidR="001E08D2" w:rsidRPr="008B6471" w:rsidRDefault="001E08D2" w:rsidP="00B446F1">
            <w:pPr>
              <w:jc w:val="right"/>
              <w:rPr>
                <w:rFonts w:cs="Arial"/>
                <w:color w:val="000000"/>
                <w:sz w:val="20"/>
                <w:lang w:eastAsia="es-ES"/>
              </w:rPr>
            </w:pPr>
            <w:r w:rsidRPr="008B6471">
              <w:rPr>
                <w:rFonts w:cs="Arial"/>
                <w:color w:val="000000"/>
                <w:sz w:val="20"/>
                <w:lang w:eastAsia="es-ES"/>
              </w:rPr>
              <w:t>17</w:t>
            </w:r>
            <w:r w:rsidR="004E08D9" w:rsidRPr="008B6471">
              <w:rPr>
                <w:rFonts w:cs="Arial"/>
                <w:color w:val="000000"/>
                <w:sz w:val="20"/>
                <w:lang w:eastAsia="es-ES"/>
              </w:rPr>
              <w:t>.</w:t>
            </w:r>
            <w:r w:rsidRPr="008B6471">
              <w:rPr>
                <w:rFonts w:cs="Arial"/>
                <w:color w:val="000000"/>
                <w:sz w:val="20"/>
                <w:lang w:eastAsia="es-ES"/>
              </w:rPr>
              <w:t>0</w:t>
            </w:r>
          </w:p>
        </w:tc>
      </w:tr>
      <w:tr w:rsidR="00111156" w:rsidRPr="008B6471" w14:paraId="68A079ED" w14:textId="77777777" w:rsidTr="008B6471">
        <w:trPr>
          <w:trHeight w:val="290"/>
        </w:trPr>
        <w:tc>
          <w:tcPr>
            <w:tcW w:w="1139" w:type="pct"/>
            <w:noWrap/>
            <w:hideMark/>
          </w:tcPr>
          <w:p w14:paraId="252526EF" w14:textId="77777777" w:rsidR="001E08D2" w:rsidRPr="008B6471" w:rsidRDefault="001E08D2" w:rsidP="00EE2C62">
            <w:pPr>
              <w:jc w:val="left"/>
              <w:rPr>
                <w:rFonts w:cs="Arial"/>
                <w:color w:val="000000"/>
                <w:sz w:val="20"/>
                <w:lang w:eastAsia="es-ES"/>
              </w:rPr>
            </w:pPr>
            <w:r w:rsidRPr="008B6471">
              <w:rPr>
                <w:rFonts w:cs="Arial"/>
                <w:color w:val="000000"/>
                <w:sz w:val="20"/>
                <w:lang w:eastAsia="es-ES"/>
              </w:rPr>
              <w:t>Home help</w:t>
            </w:r>
          </w:p>
        </w:tc>
        <w:tc>
          <w:tcPr>
            <w:tcW w:w="529" w:type="pct"/>
            <w:noWrap/>
            <w:hideMark/>
          </w:tcPr>
          <w:p w14:paraId="1D53687B" w14:textId="472B35EE" w:rsidR="001E08D2" w:rsidRPr="008B6471" w:rsidRDefault="001E08D2" w:rsidP="00B446F1">
            <w:pPr>
              <w:jc w:val="right"/>
              <w:rPr>
                <w:rFonts w:cs="Arial"/>
                <w:color w:val="000000"/>
                <w:sz w:val="20"/>
                <w:lang w:eastAsia="es-ES"/>
              </w:rPr>
            </w:pPr>
            <w:r w:rsidRPr="008B6471">
              <w:rPr>
                <w:rFonts w:cs="Arial"/>
                <w:color w:val="000000"/>
                <w:sz w:val="20"/>
                <w:lang w:eastAsia="es-ES"/>
              </w:rPr>
              <w:t>12</w:t>
            </w:r>
            <w:r w:rsidR="004E08D9" w:rsidRPr="008B6471">
              <w:rPr>
                <w:rFonts w:cs="Arial"/>
                <w:color w:val="000000"/>
                <w:sz w:val="20"/>
                <w:lang w:eastAsia="es-ES"/>
              </w:rPr>
              <w:t>.</w:t>
            </w:r>
            <w:r w:rsidRPr="008B6471">
              <w:rPr>
                <w:rFonts w:cs="Arial"/>
                <w:color w:val="000000"/>
                <w:sz w:val="20"/>
                <w:lang w:eastAsia="es-ES"/>
              </w:rPr>
              <w:t>8</w:t>
            </w:r>
          </w:p>
        </w:tc>
        <w:tc>
          <w:tcPr>
            <w:tcW w:w="529" w:type="pct"/>
            <w:noWrap/>
            <w:hideMark/>
          </w:tcPr>
          <w:p w14:paraId="23DBFF5E" w14:textId="02DF1B52" w:rsidR="001E08D2" w:rsidRPr="008B6471" w:rsidRDefault="001E08D2" w:rsidP="00B446F1">
            <w:pPr>
              <w:jc w:val="right"/>
              <w:rPr>
                <w:rFonts w:cs="Arial"/>
                <w:color w:val="000000"/>
                <w:sz w:val="20"/>
                <w:lang w:eastAsia="es-ES"/>
              </w:rPr>
            </w:pPr>
            <w:r w:rsidRPr="008B6471">
              <w:rPr>
                <w:rFonts w:cs="Arial"/>
                <w:color w:val="000000"/>
                <w:sz w:val="20"/>
                <w:lang w:eastAsia="es-ES"/>
              </w:rPr>
              <w:t>14</w:t>
            </w:r>
            <w:r w:rsidR="004E08D9" w:rsidRPr="008B6471">
              <w:rPr>
                <w:rFonts w:cs="Arial"/>
                <w:color w:val="000000"/>
                <w:sz w:val="20"/>
                <w:lang w:eastAsia="es-ES"/>
              </w:rPr>
              <w:t>.</w:t>
            </w:r>
            <w:r w:rsidRPr="008B6471">
              <w:rPr>
                <w:rFonts w:cs="Arial"/>
                <w:color w:val="000000"/>
                <w:sz w:val="20"/>
                <w:lang w:eastAsia="es-ES"/>
              </w:rPr>
              <w:t>3</w:t>
            </w:r>
          </w:p>
        </w:tc>
        <w:tc>
          <w:tcPr>
            <w:tcW w:w="530" w:type="pct"/>
            <w:noWrap/>
            <w:hideMark/>
          </w:tcPr>
          <w:p w14:paraId="49E073F8" w14:textId="437E3947" w:rsidR="001E08D2" w:rsidRPr="008B6471" w:rsidRDefault="001E08D2" w:rsidP="00B446F1">
            <w:pPr>
              <w:jc w:val="right"/>
              <w:rPr>
                <w:rFonts w:cs="Arial"/>
                <w:color w:val="000000"/>
                <w:sz w:val="20"/>
                <w:lang w:eastAsia="es-ES"/>
              </w:rPr>
            </w:pPr>
            <w:r w:rsidRPr="008B6471">
              <w:rPr>
                <w:rFonts w:cs="Arial"/>
                <w:color w:val="000000"/>
                <w:sz w:val="20"/>
                <w:lang w:eastAsia="es-ES"/>
              </w:rPr>
              <w:t>14</w:t>
            </w:r>
            <w:r w:rsidR="004E08D9" w:rsidRPr="008B6471">
              <w:rPr>
                <w:rFonts w:cs="Arial"/>
                <w:color w:val="000000"/>
                <w:sz w:val="20"/>
                <w:lang w:eastAsia="es-ES"/>
              </w:rPr>
              <w:t>.</w:t>
            </w:r>
            <w:r w:rsidRPr="008B6471">
              <w:rPr>
                <w:rFonts w:cs="Arial"/>
                <w:color w:val="000000"/>
                <w:sz w:val="20"/>
                <w:lang w:eastAsia="es-ES"/>
              </w:rPr>
              <w:t>8</w:t>
            </w:r>
          </w:p>
        </w:tc>
        <w:tc>
          <w:tcPr>
            <w:tcW w:w="530" w:type="pct"/>
            <w:noWrap/>
            <w:hideMark/>
          </w:tcPr>
          <w:p w14:paraId="42CDBB20" w14:textId="2406A70D" w:rsidR="001E08D2" w:rsidRPr="008B6471" w:rsidRDefault="001E08D2" w:rsidP="00B446F1">
            <w:pPr>
              <w:jc w:val="right"/>
              <w:rPr>
                <w:rFonts w:cs="Arial"/>
                <w:color w:val="000000"/>
                <w:sz w:val="20"/>
                <w:lang w:eastAsia="es-ES"/>
              </w:rPr>
            </w:pPr>
            <w:r w:rsidRPr="008B6471">
              <w:rPr>
                <w:rFonts w:cs="Arial"/>
                <w:color w:val="000000"/>
                <w:sz w:val="20"/>
                <w:lang w:eastAsia="es-ES"/>
              </w:rPr>
              <w:t>16</w:t>
            </w:r>
            <w:r w:rsidR="004E08D9" w:rsidRPr="008B6471">
              <w:rPr>
                <w:rFonts w:cs="Arial"/>
                <w:color w:val="000000"/>
                <w:sz w:val="20"/>
                <w:lang w:eastAsia="es-ES"/>
              </w:rPr>
              <w:t>.</w:t>
            </w:r>
            <w:r w:rsidRPr="008B6471">
              <w:rPr>
                <w:rFonts w:cs="Arial"/>
                <w:color w:val="000000"/>
                <w:sz w:val="20"/>
                <w:lang w:eastAsia="es-ES"/>
              </w:rPr>
              <w:t>0</w:t>
            </w:r>
          </w:p>
        </w:tc>
        <w:tc>
          <w:tcPr>
            <w:tcW w:w="530" w:type="pct"/>
            <w:noWrap/>
            <w:hideMark/>
          </w:tcPr>
          <w:p w14:paraId="69907FC8" w14:textId="6BDBD1AA" w:rsidR="001E08D2" w:rsidRPr="008B6471" w:rsidRDefault="001E08D2" w:rsidP="00B446F1">
            <w:pPr>
              <w:jc w:val="right"/>
              <w:rPr>
                <w:rFonts w:cs="Arial"/>
                <w:color w:val="000000"/>
                <w:sz w:val="20"/>
                <w:lang w:eastAsia="es-ES"/>
              </w:rPr>
            </w:pPr>
            <w:r w:rsidRPr="008B6471">
              <w:rPr>
                <w:rFonts w:cs="Arial"/>
                <w:color w:val="000000"/>
                <w:sz w:val="20"/>
                <w:lang w:eastAsia="es-ES"/>
              </w:rPr>
              <w:t>16</w:t>
            </w:r>
            <w:r w:rsidR="004E08D9" w:rsidRPr="008B6471">
              <w:rPr>
                <w:rFonts w:cs="Arial"/>
                <w:color w:val="000000"/>
                <w:sz w:val="20"/>
                <w:lang w:eastAsia="es-ES"/>
              </w:rPr>
              <w:t>.</w:t>
            </w:r>
            <w:r w:rsidRPr="008B6471">
              <w:rPr>
                <w:rFonts w:cs="Arial"/>
                <w:color w:val="000000"/>
                <w:sz w:val="20"/>
                <w:lang w:eastAsia="es-ES"/>
              </w:rPr>
              <w:t>5</w:t>
            </w:r>
          </w:p>
        </w:tc>
        <w:tc>
          <w:tcPr>
            <w:tcW w:w="606" w:type="pct"/>
            <w:noWrap/>
            <w:hideMark/>
          </w:tcPr>
          <w:p w14:paraId="67830E98" w14:textId="1522A742" w:rsidR="001E08D2" w:rsidRPr="008B6471" w:rsidRDefault="001E08D2" w:rsidP="00B446F1">
            <w:pPr>
              <w:jc w:val="right"/>
              <w:rPr>
                <w:rFonts w:cs="Arial"/>
                <w:color w:val="000000"/>
                <w:sz w:val="20"/>
                <w:lang w:eastAsia="es-ES"/>
              </w:rPr>
            </w:pPr>
            <w:r w:rsidRPr="008B6471">
              <w:rPr>
                <w:rFonts w:cs="Arial"/>
                <w:color w:val="000000"/>
                <w:sz w:val="20"/>
                <w:lang w:eastAsia="es-ES"/>
              </w:rPr>
              <w:t>17</w:t>
            </w:r>
            <w:r w:rsidR="004E08D9" w:rsidRPr="008B6471">
              <w:rPr>
                <w:rFonts w:cs="Arial"/>
                <w:color w:val="000000"/>
                <w:sz w:val="20"/>
                <w:lang w:eastAsia="es-ES"/>
              </w:rPr>
              <w:t>.</w:t>
            </w:r>
            <w:r w:rsidRPr="008B6471">
              <w:rPr>
                <w:rFonts w:cs="Arial"/>
                <w:color w:val="000000"/>
                <w:sz w:val="20"/>
                <w:lang w:eastAsia="es-ES"/>
              </w:rPr>
              <w:t>9</w:t>
            </w:r>
          </w:p>
        </w:tc>
        <w:tc>
          <w:tcPr>
            <w:tcW w:w="607" w:type="pct"/>
            <w:noWrap/>
            <w:hideMark/>
          </w:tcPr>
          <w:p w14:paraId="29D3CF7C" w14:textId="15FA8E43" w:rsidR="001E08D2" w:rsidRPr="008B6471" w:rsidRDefault="001E08D2" w:rsidP="00B446F1">
            <w:pPr>
              <w:jc w:val="right"/>
              <w:rPr>
                <w:rFonts w:cs="Arial"/>
                <w:color w:val="000000"/>
                <w:sz w:val="20"/>
                <w:lang w:eastAsia="es-ES"/>
              </w:rPr>
            </w:pPr>
            <w:r w:rsidRPr="008B6471">
              <w:rPr>
                <w:rFonts w:cs="Arial"/>
                <w:color w:val="000000"/>
                <w:sz w:val="20"/>
                <w:lang w:eastAsia="es-ES"/>
              </w:rPr>
              <w:t>17</w:t>
            </w:r>
            <w:r w:rsidR="004E08D9" w:rsidRPr="008B6471">
              <w:rPr>
                <w:rFonts w:cs="Arial"/>
                <w:color w:val="000000"/>
                <w:sz w:val="20"/>
                <w:lang w:eastAsia="es-ES"/>
              </w:rPr>
              <w:t>.</w:t>
            </w:r>
            <w:r w:rsidRPr="008B6471">
              <w:rPr>
                <w:rFonts w:cs="Arial"/>
                <w:color w:val="000000"/>
                <w:sz w:val="20"/>
                <w:lang w:eastAsia="es-ES"/>
              </w:rPr>
              <w:t>9</w:t>
            </w:r>
          </w:p>
        </w:tc>
      </w:tr>
      <w:tr w:rsidR="00111156" w:rsidRPr="008B6471" w14:paraId="41CC9E3F" w14:textId="77777777" w:rsidTr="008B6471">
        <w:trPr>
          <w:trHeight w:val="290"/>
        </w:trPr>
        <w:tc>
          <w:tcPr>
            <w:tcW w:w="1139" w:type="pct"/>
            <w:noWrap/>
            <w:hideMark/>
          </w:tcPr>
          <w:p w14:paraId="48113302" w14:textId="6EDB3E88" w:rsidR="001E08D2" w:rsidRPr="008B6471" w:rsidRDefault="001E08D2" w:rsidP="00EE2C62">
            <w:pPr>
              <w:jc w:val="left"/>
              <w:rPr>
                <w:rFonts w:cs="Arial"/>
                <w:color w:val="000000"/>
                <w:sz w:val="20"/>
                <w:lang w:eastAsia="es-ES"/>
              </w:rPr>
            </w:pPr>
            <w:r w:rsidRPr="008B6471">
              <w:rPr>
                <w:rFonts w:cs="Arial"/>
                <w:color w:val="000000"/>
                <w:sz w:val="20"/>
                <w:lang w:eastAsia="es-ES"/>
              </w:rPr>
              <w:t xml:space="preserve">Day / Night </w:t>
            </w:r>
            <w:r w:rsidR="00EE2C62" w:rsidRPr="008B6471">
              <w:rPr>
                <w:rFonts w:cs="Arial"/>
                <w:color w:val="000000"/>
                <w:sz w:val="20"/>
                <w:lang w:eastAsia="es-ES"/>
              </w:rPr>
              <w:t>Centres</w:t>
            </w:r>
          </w:p>
        </w:tc>
        <w:tc>
          <w:tcPr>
            <w:tcW w:w="529" w:type="pct"/>
            <w:noWrap/>
            <w:hideMark/>
          </w:tcPr>
          <w:p w14:paraId="56DEA8FE" w14:textId="7FCA5914" w:rsidR="001E08D2" w:rsidRPr="008B6471" w:rsidRDefault="001E08D2" w:rsidP="00B446F1">
            <w:pPr>
              <w:jc w:val="right"/>
              <w:rPr>
                <w:rFonts w:cs="Arial"/>
                <w:color w:val="000000"/>
                <w:sz w:val="20"/>
                <w:lang w:eastAsia="es-ES"/>
              </w:rPr>
            </w:pPr>
            <w:r w:rsidRPr="008B6471">
              <w:rPr>
                <w:rFonts w:cs="Arial"/>
                <w:color w:val="000000"/>
                <w:sz w:val="20"/>
                <w:lang w:eastAsia="es-ES"/>
              </w:rPr>
              <w:t>7</w:t>
            </w:r>
            <w:r w:rsidR="004E08D9" w:rsidRPr="008B6471">
              <w:rPr>
                <w:rFonts w:cs="Arial"/>
                <w:color w:val="000000"/>
                <w:sz w:val="20"/>
                <w:lang w:eastAsia="es-ES"/>
              </w:rPr>
              <w:t>.</w:t>
            </w:r>
            <w:r w:rsidRPr="008B6471">
              <w:rPr>
                <w:rFonts w:cs="Arial"/>
                <w:color w:val="000000"/>
                <w:sz w:val="20"/>
                <w:lang w:eastAsia="es-ES"/>
              </w:rPr>
              <w:t>4</w:t>
            </w:r>
          </w:p>
        </w:tc>
        <w:tc>
          <w:tcPr>
            <w:tcW w:w="529" w:type="pct"/>
            <w:noWrap/>
            <w:hideMark/>
          </w:tcPr>
          <w:p w14:paraId="37060D3D" w14:textId="707A100B" w:rsidR="001E08D2" w:rsidRPr="008B6471" w:rsidRDefault="001E08D2" w:rsidP="00B446F1">
            <w:pPr>
              <w:jc w:val="right"/>
              <w:rPr>
                <w:rFonts w:cs="Arial"/>
                <w:color w:val="000000"/>
                <w:sz w:val="20"/>
                <w:lang w:eastAsia="es-ES"/>
              </w:rPr>
            </w:pPr>
            <w:r w:rsidRPr="008B6471">
              <w:rPr>
                <w:rFonts w:cs="Arial"/>
                <w:color w:val="000000"/>
                <w:sz w:val="20"/>
                <w:lang w:eastAsia="es-ES"/>
              </w:rPr>
              <w:t>7</w:t>
            </w:r>
            <w:r w:rsidR="004E08D9" w:rsidRPr="008B6471">
              <w:rPr>
                <w:rFonts w:cs="Arial"/>
                <w:color w:val="000000"/>
                <w:sz w:val="20"/>
                <w:lang w:eastAsia="es-ES"/>
              </w:rPr>
              <w:t>.</w:t>
            </w:r>
            <w:r w:rsidRPr="008B6471">
              <w:rPr>
                <w:rFonts w:cs="Arial"/>
                <w:color w:val="000000"/>
                <w:sz w:val="20"/>
                <w:lang w:eastAsia="es-ES"/>
              </w:rPr>
              <w:t>9</w:t>
            </w:r>
          </w:p>
        </w:tc>
        <w:tc>
          <w:tcPr>
            <w:tcW w:w="530" w:type="pct"/>
            <w:noWrap/>
            <w:hideMark/>
          </w:tcPr>
          <w:p w14:paraId="7E36A563" w14:textId="7A3E2DDC" w:rsidR="001E08D2" w:rsidRPr="008B6471" w:rsidRDefault="001E08D2" w:rsidP="00B446F1">
            <w:pPr>
              <w:jc w:val="right"/>
              <w:rPr>
                <w:rFonts w:cs="Arial"/>
                <w:color w:val="000000"/>
                <w:sz w:val="20"/>
                <w:lang w:eastAsia="es-ES"/>
              </w:rPr>
            </w:pPr>
            <w:r w:rsidRPr="008B6471">
              <w:rPr>
                <w:rFonts w:cs="Arial"/>
                <w:color w:val="000000"/>
                <w:sz w:val="20"/>
                <w:lang w:eastAsia="es-ES"/>
              </w:rPr>
              <w:t>8</w:t>
            </w:r>
            <w:r w:rsidR="004E08D9" w:rsidRPr="008B6471">
              <w:rPr>
                <w:rFonts w:cs="Arial"/>
                <w:color w:val="000000"/>
                <w:sz w:val="20"/>
                <w:lang w:eastAsia="es-ES"/>
              </w:rPr>
              <w:t>.</w:t>
            </w:r>
            <w:r w:rsidRPr="008B6471">
              <w:rPr>
                <w:rFonts w:cs="Arial"/>
                <w:color w:val="000000"/>
                <w:sz w:val="20"/>
                <w:lang w:eastAsia="es-ES"/>
              </w:rPr>
              <w:t>5</w:t>
            </w:r>
          </w:p>
        </w:tc>
        <w:tc>
          <w:tcPr>
            <w:tcW w:w="530" w:type="pct"/>
            <w:noWrap/>
            <w:hideMark/>
          </w:tcPr>
          <w:p w14:paraId="1173CB11" w14:textId="4109BCAF" w:rsidR="001E08D2" w:rsidRPr="008B6471" w:rsidRDefault="001E08D2" w:rsidP="00B446F1">
            <w:pPr>
              <w:jc w:val="right"/>
              <w:rPr>
                <w:rFonts w:cs="Arial"/>
                <w:color w:val="000000"/>
                <w:sz w:val="20"/>
                <w:lang w:eastAsia="es-ES"/>
              </w:rPr>
            </w:pPr>
            <w:r w:rsidRPr="008B6471">
              <w:rPr>
                <w:rFonts w:cs="Arial"/>
                <w:color w:val="000000"/>
                <w:sz w:val="20"/>
                <w:lang w:eastAsia="es-ES"/>
              </w:rPr>
              <w:t>8</w:t>
            </w:r>
            <w:r w:rsidR="004E08D9" w:rsidRPr="008B6471">
              <w:rPr>
                <w:rFonts w:cs="Arial"/>
                <w:color w:val="000000"/>
                <w:sz w:val="20"/>
                <w:lang w:eastAsia="es-ES"/>
              </w:rPr>
              <w:t>.</w:t>
            </w:r>
            <w:r w:rsidRPr="008B6471">
              <w:rPr>
                <w:rFonts w:cs="Arial"/>
                <w:color w:val="000000"/>
                <w:sz w:val="20"/>
                <w:lang w:eastAsia="es-ES"/>
              </w:rPr>
              <w:t>0</w:t>
            </w:r>
          </w:p>
        </w:tc>
        <w:tc>
          <w:tcPr>
            <w:tcW w:w="530" w:type="pct"/>
            <w:noWrap/>
            <w:hideMark/>
          </w:tcPr>
          <w:p w14:paraId="224207A5" w14:textId="46AE786B" w:rsidR="001E08D2" w:rsidRPr="008B6471" w:rsidRDefault="001E08D2" w:rsidP="00B446F1">
            <w:pPr>
              <w:jc w:val="right"/>
              <w:rPr>
                <w:rFonts w:cs="Arial"/>
                <w:color w:val="000000"/>
                <w:sz w:val="20"/>
                <w:lang w:eastAsia="es-ES"/>
              </w:rPr>
            </w:pPr>
            <w:r w:rsidRPr="008B6471">
              <w:rPr>
                <w:rFonts w:cs="Arial"/>
                <w:color w:val="000000"/>
                <w:sz w:val="20"/>
                <w:lang w:eastAsia="es-ES"/>
              </w:rPr>
              <w:t>7</w:t>
            </w:r>
            <w:r w:rsidR="004E08D9" w:rsidRPr="008B6471">
              <w:rPr>
                <w:rFonts w:cs="Arial"/>
                <w:color w:val="000000"/>
                <w:sz w:val="20"/>
                <w:lang w:eastAsia="es-ES"/>
              </w:rPr>
              <w:t>.</w:t>
            </w:r>
            <w:r w:rsidRPr="008B6471">
              <w:rPr>
                <w:rFonts w:cs="Arial"/>
                <w:color w:val="000000"/>
                <w:sz w:val="20"/>
                <w:lang w:eastAsia="es-ES"/>
              </w:rPr>
              <w:t>7</w:t>
            </w:r>
          </w:p>
        </w:tc>
        <w:tc>
          <w:tcPr>
            <w:tcW w:w="606" w:type="pct"/>
            <w:noWrap/>
            <w:hideMark/>
          </w:tcPr>
          <w:p w14:paraId="5A2C0ED2" w14:textId="11736490" w:rsidR="001E08D2" w:rsidRPr="008B6471" w:rsidRDefault="001E08D2" w:rsidP="00B446F1">
            <w:pPr>
              <w:jc w:val="right"/>
              <w:rPr>
                <w:rFonts w:cs="Arial"/>
                <w:color w:val="000000"/>
                <w:sz w:val="20"/>
                <w:lang w:eastAsia="es-ES"/>
              </w:rPr>
            </w:pPr>
            <w:r w:rsidRPr="008B6471">
              <w:rPr>
                <w:rFonts w:cs="Arial"/>
                <w:color w:val="000000"/>
                <w:sz w:val="20"/>
                <w:lang w:eastAsia="es-ES"/>
              </w:rPr>
              <w:t>7</w:t>
            </w:r>
            <w:r w:rsidR="004E08D9" w:rsidRPr="008B6471">
              <w:rPr>
                <w:rFonts w:cs="Arial"/>
                <w:color w:val="000000"/>
                <w:sz w:val="20"/>
                <w:lang w:eastAsia="es-ES"/>
              </w:rPr>
              <w:t>.</w:t>
            </w:r>
            <w:r w:rsidRPr="008B6471">
              <w:rPr>
                <w:rFonts w:cs="Arial"/>
                <w:color w:val="000000"/>
                <w:sz w:val="20"/>
                <w:lang w:eastAsia="es-ES"/>
              </w:rPr>
              <w:t>2</w:t>
            </w:r>
          </w:p>
        </w:tc>
        <w:tc>
          <w:tcPr>
            <w:tcW w:w="607" w:type="pct"/>
            <w:noWrap/>
            <w:hideMark/>
          </w:tcPr>
          <w:p w14:paraId="67416BDF" w14:textId="0EE0F72F" w:rsidR="001E08D2" w:rsidRPr="008B6471" w:rsidRDefault="001E08D2" w:rsidP="00B446F1">
            <w:pPr>
              <w:jc w:val="right"/>
              <w:rPr>
                <w:rFonts w:cs="Arial"/>
                <w:color w:val="000000"/>
                <w:sz w:val="20"/>
                <w:lang w:eastAsia="es-ES"/>
              </w:rPr>
            </w:pPr>
            <w:r w:rsidRPr="008B6471">
              <w:rPr>
                <w:rFonts w:cs="Arial"/>
                <w:color w:val="000000"/>
                <w:sz w:val="20"/>
                <w:lang w:eastAsia="es-ES"/>
              </w:rPr>
              <w:t>7</w:t>
            </w:r>
            <w:r w:rsidR="004E08D9" w:rsidRPr="008B6471">
              <w:rPr>
                <w:rFonts w:cs="Arial"/>
                <w:color w:val="000000"/>
                <w:sz w:val="20"/>
                <w:lang w:eastAsia="es-ES"/>
              </w:rPr>
              <w:t>.</w:t>
            </w:r>
            <w:r w:rsidRPr="008B6471">
              <w:rPr>
                <w:rFonts w:cs="Arial"/>
                <w:color w:val="000000"/>
                <w:sz w:val="20"/>
                <w:lang w:eastAsia="es-ES"/>
              </w:rPr>
              <w:t>2</w:t>
            </w:r>
          </w:p>
        </w:tc>
      </w:tr>
      <w:tr w:rsidR="00111156" w:rsidRPr="008B6471" w14:paraId="5ACC6E7A" w14:textId="77777777" w:rsidTr="008B6471">
        <w:trPr>
          <w:trHeight w:val="290"/>
        </w:trPr>
        <w:tc>
          <w:tcPr>
            <w:tcW w:w="1139" w:type="pct"/>
            <w:noWrap/>
            <w:hideMark/>
          </w:tcPr>
          <w:p w14:paraId="116F5A52" w14:textId="60130D85" w:rsidR="001E08D2" w:rsidRPr="008B6471" w:rsidRDefault="001E08D2" w:rsidP="00EE2C62">
            <w:pPr>
              <w:jc w:val="left"/>
              <w:rPr>
                <w:rFonts w:cs="Arial"/>
                <w:color w:val="000000"/>
                <w:sz w:val="20"/>
                <w:lang w:eastAsia="es-ES"/>
              </w:rPr>
            </w:pPr>
            <w:r w:rsidRPr="008B6471">
              <w:rPr>
                <w:rFonts w:cs="Arial"/>
                <w:color w:val="000000"/>
                <w:sz w:val="20"/>
                <w:lang w:eastAsia="es-ES"/>
              </w:rPr>
              <w:t>Residential Care</w:t>
            </w:r>
            <w:r w:rsidR="003A4986" w:rsidRPr="008B6471">
              <w:rPr>
                <w:rFonts w:cs="Arial"/>
                <w:color w:val="000000"/>
                <w:sz w:val="20"/>
                <w:lang w:eastAsia="es-ES"/>
              </w:rPr>
              <w:t xml:space="preserve"> (Institutions)</w:t>
            </w:r>
          </w:p>
        </w:tc>
        <w:tc>
          <w:tcPr>
            <w:tcW w:w="529" w:type="pct"/>
            <w:noWrap/>
            <w:hideMark/>
          </w:tcPr>
          <w:p w14:paraId="77E8B661" w14:textId="71251DDC" w:rsidR="001E08D2" w:rsidRPr="008B6471" w:rsidRDefault="001E08D2" w:rsidP="00B446F1">
            <w:pPr>
              <w:jc w:val="right"/>
              <w:rPr>
                <w:rFonts w:cs="Arial"/>
                <w:color w:val="000000"/>
                <w:sz w:val="20"/>
                <w:lang w:eastAsia="es-ES"/>
              </w:rPr>
            </w:pPr>
            <w:r w:rsidRPr="008B6471">
              <w:rPr>
                <w:rFonts w:cs="Arial"/>
                <w:color w:val="000000"/>
                <w:sz w:val="20"/>
                <w:lang w:eastAsia="es-ES"/>
              </w:rPr>
              <w:t>13</w:t>
            </w:r>
            <w:r w:rsidR="004E08D9" w:rsidRPr="008B6471">
              <w:rPr>
                <w:rFonts w:cs="Arial"/>
                <w:color w:val="000000"/>
                <w:sz w:val="20"/>
                <w:lang w:eastAsia="es-ES"/>
              </w:rPr>
              <w:t>.</w:t>
            </w:r>
            <w:r w:rsidRPr="008B6471">
              <w:rPr>
                <w:rFonts w:cs="Arial"/>
                <w:color w:val="000000"/>
                <w:sz w:val="20"/>
                <w:lang w:eastAsia="es-ES"/>
              </w:rPr>
              <w:t>8</w:t>
            </w:r>
          </w:p>
        </w:tc>
        <w:tc>
          <w:tcPr>
            <w:tcW w:w="529" w:type="pct"/>
            <w:noWrap/>
            <w:hideMark/>
          </w:tcPr>
          <w:p w14:paraId="35A9A917" w14:textId="2D919568" w:rsidR="001E08D2" w:rsidRPr="008B6471" w:rsidRDefault="001E08D2" w:rsidP="00B446F1">
            <w:pPr>
              <w:jc w:val="right"/>
              <w:rPr>
                <w:rFonts w:cs="Arial"/>
                <w:color w:val="000000"/>
                <w:sz w:val="20"/>
                <w:lang w:eastAsia="es-ES"/>
              </w:rPr>
            </w:pPr>
            <w:r w:rsidRPr="008B6471">
              <w:rPr>
                <w:rFonts w:cs="Arial"/>
                <w:color w:val="000000"/>
                <w:sz w:val="20"/>
                <w:lang w:eastAsia="es-ES"/>
              </w:rPr>
              <w:t>14</w:t>
            </w:r>
            <w:r w:rsidR="004E08D9" w:rsidRPr="008B6471">
              <w:rPr>
                <w:rFonts w:cs="Arial"/>
                <w:color w:val="000000"/>
                <w:sz w:val="20"/>
                <w:lang w:eastAsia="es-ES"/>
              </w:rPr>
              <w:t>.</w:t>
            </w:r>
            <w:r w:rsidRPr="008B6471">
              <w:rPr>
                <w:rFonts w:cs="Arial"/>
                <w:color w:val="000000"/>
                <w:sz w:val="20"/>
                <w:lang w:eastAsia="es-ES"/>
              </w:rPr>
              <w:t>6</w:t>
            </w:r>
          </w:p>
        </w:tc>
        <w:tc>
          <w:tcPr>
            <w:tcW w:w="530" w:type="pct"/>
            <w:noWrap/>
            <w:hideMark/>
          </w:tcPr>
          <w:p w14:paraId="48C8A8F4" w14:textId="1570CCEB" w:rsidR="001E08D2" w:rsidRPr="008B6471" w:rsidRDefault="001E08D2" w:rsidP="00B446F1">
            <w:pPr>
              <w:jc w:val="right"/>
              <w:rPr>
                <w:rFonts w:cs="Arial"/>
                <w:color w:val="000000"/>
                <w:sz w:val="20"/>
                <w:lang w:eastAsia="es-ES"/>
              </w:rPr>
            </w:pPr>
            <w:r w:rsidRPr="008B6471">
              <w:rPr>
                <w:rFonts w:cs="Arial"/>
                <w:color w:val="000000"/>
                <w:sz w:val="20"/>
                <w:lang w:eastAsia="es-ES"/>
              </w:rPr>
              <w:t>14</w:t>
            </w:r>
            <w:r w:rsidR="004E08D9" w:rsidRPr="008B6471">
              <w:rPr>
                <w:rFonts w:cs="Arial"/>
                <w:color w:val="000000"/>
                <w:sz w:val="20"/>
                <w:lang w:eastAsia="es-ES"/>
              </w:rPr>
              <w:t>.</w:t>
            </w:r>
            <w:r w:rsidRPr="008B6471">
              <w:rPr>
                <w:rFonts w:cs="Arial"/>
                <w:color w:val="000000"/>
                <w:sz w:val="20"/>
                <w:lang w:eastAsia="es-ES"/>
              </w:rPr>
              <w:t>9</w:t>
            </w:r>
          </w:p>
        </w:tc>
        <w:tc>
          <w:tcPr>
            <w:tcW w:w="530" w:type="pct"/>
            <w:noWrap/>
            <w:hideMark/>
          </w:tcPr>
          <w:p w14:paraId="55066B10" w14:textId="68E7DFB7" w:rsidR="001E08D2" w:rsidRPr="008B6471" w:rsidRDefault="001E08D2" w:rsidP="00B446F1">
            <w:pPr>
              <w:jc w:val="right"/>
              <w:rPr>
                <w:rFonts w:cs="Arial"/>
                <w:color w:val="000000"/>
                <w:sz w:val="20"/>
                <w:lang w:eastAsia="es-ES"/>
              </w:rPr>
            </w:pPr>
            <w:r w:rsidRPr="008B6471">
              <w:rPr>
                <w:rFonts w:cs="Arial"/>
                <w:color w:val="000000"/>
                <w:sz w:val="20"/>
                <w:lang w:eastAsia="es-ES"/>
              </w:rPr>
              <w:t>14</w:t>
            </w:r>
            <w:r w:rsidR="004E08D9" w:rsidRPr="008B6471">
              <w:rPr>
                <w:rFonts w:cs="Arial"/>
                <w:color w:val="000000"/>
                <w:sz w:val="20"/>
                <w:lang w:eastAsia="es-ES"/>
              </w:rPr>
              <w:t>.</w:t>
            </w:r>
            <w:r w:rsidRPr="008B6471">
              <w:rPr>
                <w:rFonts w:cs="Arial"/>
                <w:color w:val="000000"/>
                <w:sz w:val="20"/>
                <w:lang w:eastAsia="es-ES"/>
              </w:rPr>
              <w:t>2</w:t>
            </w:r>
          </w:p>
        </w:tc>
        <w:tc>
          <w:tcPr>
            <w:tcW w:w="530" w:type="pct"/>
            <w:noWrap/>
            <w:hideMark/>
          </w:tcPr>
          <w:p w14:paraId="72461728" w14:textId="67A37D57" w:rsidR="001E08D2" w:rsidRPr="008B6471" w:rsidRDefault="001E08D2" w:rsidP="00B446F1">
            <w:pPr>
              <w:jc w:val="right"/>
              <w:rPr>
                <w:rFonts w:cs="Arial"/>
                <w:color w:val="000000"/>
                <w:sz w:val="20"/>
                <w:lang w:eastAsia="es-ES"/>
              </w:rPr>
            </w:pPr>
            <w:r w:rsidRPr="008B6471">
              <w:rPr>
                <w:rFonts w:cs="Arial"/>
                <w:color w:val="000000"/>
                <w:sz w:val="20"/>
                <w:lang w:eastAsia="es-ES"/>
              </w:rPr>
              <w:t>13</w:t>
            </w:r>
            <w:r w:rsidR="004E08D9" w:rsidRPr="008B6471">
              <w:rPr>
                <w:rFonts w:cs="Arial"/>
                <w:color w:val="000000"/>
                <w:sz w:val="20"/>
                <w:lang w:eastAsia="es-ES"/>
              </w:rPr>
              <w:t>.</w:t>
            </w:r>
            <w:r w:rsidRPr="008B6471">
              <w:rPr>
                <w:rFonts w:cs="Arial"/>
                <w:color w:val="000000"/>
                <w:sz w:val="20"/>
                <w:lang w:eastAsia="es-ES"/>
              </w:rPr>
              <w:t>3</w:t>
            </w:r>
          </w:p>
        </w:tc>
        <w:tc>
          <w:tcPr>
            <w:tcW w:w="606" w:type="pct"/>
            <w:noWrap/>
            <w:hideMark/>
          </w:tcPr>
          <w:p w14:paraId="05F34B47" w14:textId="22395371" w:rsidR="001E08D2" w:rsidRPr="008B6471" w:rsidRDefault="001E08D2" w:rsidP="00B446F1">
            <w:pPr>
              <w:jc w:val="right"/>
              <w:rPr>
                <w:rFonts w:cs="Arial"/>
                <w:color w:val="000000"/>
                <w:sz w:val="20"/>
                <w:lang w:eastAsia="es-ES"/>
              </w:rPr>
            </w:pPr>
            <w:r w:rsidRPr="008B6471">
              <w:rPr>
                <w:rFonts w:cs="Arial"/>
                <w:color w:val="000000"/>
                <w:sz w:val="20"/>
                <w:lang w:eastAsia="es-ES"/>
              </w:rPr>
              <w:t>12</w:t>
            </w:r>
            <w:r w:rsidR="004E08D9" w:rsidRPr="008B6471">
              <w:rPr>
                <w:rFonts w:cs="Arial"/>
                <w:color w:val="000000"/>
                <w:sz w:val="20"/>
                <w:lang w:eastAsia="es-ES"/>
              </w:rPr>
              <w:t>.</w:t>
            </w:r>
            <w:r w:rsidRPr="008B6471">
              <w:rPr>
                <w:rFonts w:cs="Arial"/>
                <w:color w:val="000000"/>
                <w:sz w:val="20"/>
                <w:lang w:eastAsia="es-ES"/>
              </w:rPr>
              <w:t>6</w:t>
            </w:r>
          </w:p>
        </w:tc>
        <w:tc>
          <w:tcPr>
            <w:tcW w:w="607" w:type="pct"/>
            <w:noWrap/>
            <w:hideMark/>
          </w:tcPr>
          <w:p w14:paraId="619B8C14" w14:textId="792BB25C" w:rsidR="001E08D2" w:rsidRPr="008B6471" w:rsidRDefault="001E08D2" w:rsidP="00B446F1">
            <w:pPr>
              <w:jc w:val="right"/>
              <w:rPr>
                <w:rFonts w:cs="Arial"/>
                <w:color w:val="000000"/>
                <w:sz w:val="20"/>
                <w:lang w:eastAsia="es-ES"/>
              </w:rPr>
            </w:pPr>
            <w:r w:rsidRPr="008B6471">
              <w:rPr>
                <w:rFonts w:cs="Arial"/>
                <w:color w:val="000000"/>
                <w:sz w:val="20"/>
                <w:lang w:eastAsia="es-ES"/>
              </w:rPr>
              <w:t>12</w:t>
            </w:r>
            <w:r w:rsidR="004E08D9" w:rsidRPr="008B6471">
              <w:rPr>
                <w:rFonts w:cs="Arial"/>
                <w:color w:val="000000"/>
                <w:sz w:val="20"/>
                <w:lang w:eastAsia="es-ES"/>
              </w:rPr>
              <w:t>.</w:t>
            </w:r>
            <w:r w:rsidRPr="008B6471">
              <w:rPr>
                <w:rFonts w:cs="Arial"/>
                <w:color w:val="000000"/>
                <w:sz w:val="20"/>
                <w:lang w:eastAsia="es-ES"/>
              </w:rPr>
              <w:t>6</w:t>
            </w:r>
          </w:p>
        </w:tc>
      </w:tr>
      <w:tr w:rsidR="00111156" w:rsidRPr="008B6471" w14:paraId="6D0E5F63" w14:textId="77777777" w:rsidTr="008B6471">
        <w:trPr>
          <w:trHeight w:val="290"/>
        </w:trPr>
        <w:tc>
          <w:tcPr>
            <w:tcW w:w="1139" w:type="pct"/>
            <w:noWrap/>
            <w:hideMark/>
          </w:tcPr>
          <w:p w14:paraId="380138EC" w14:textId="77777777" w:rsidR="001E08D2" w:rsidRPr="008B6471" w:rsidRDefault="001E08D2" w:rsidP="00EE2C62">
            <w:pPr>
              <w:jc w:val="left"/>
              <w:rPr>
                <w:rFonts w:cs="Arial"/>
                <w:color w:val="000000"/>
                <w:sz w:val="20"/>
                <w:lang w:eastAsia="es-ES"/>
              </w:rPr>
            </w:pPr>
            <w:r w:rsidRPr="008B6471">
              <w:rPr>
                <w:rFonts w:cs="Arial"/>
                <w:color w:val="000000"/>
                <w:sz w:val="20"/>
                <w:lang w:eastAsia="es-ES"/>
              </w:rPr>
              <w:t>Economic benefit linked to service</w:t>
            </w:r>
          </w:p>
        </w:tc>
        <w:tc>
          <w:tcPr>
            <w:tcW w:w="529" w:type="pct"/>
            <w:noWrap/>
            <w:hideMark/>
          </w:tcPr>
          <w:p w14:paraId="21F17760" w14:textId="1EB4123A" w:rsidR="001E08D2" w:rsidRPr="008B6471" w:rsidRDefault="001E08D2" w:rsidP="00B446F1">
            <w:pPr>
              <w:jc w:val="right"/>
              <w:rPr>
                <w:rFonts w:cs="Arial"/>
                <w:color w:val="000000"/>
                <w:sz w:val="20"/>
                <w:lang w:eastAsia="es-ES"/>
              </w:rPr>
            </w:pPr>
            <w:r w:rsidRPr="008B6471">
              <w:rPr>
                <w:rFonts w:cs="Arial"/>
                <w:color w:val="000000"/>
                <w:sz w:val="20"/>
                <w:lang w:eastAsia="es-ES"/>
              </w:rPr>
              <w:t>7</w:t>
            </w:r>
            <w:r w:rsidR="004E08D9" w:rsidRPr="008B6471">
              <w:rPr>
                <w:rFonts w:cs="Arial"/>
                <w:color w:val="000000"/>
                <w:sz w:val="20"/>
                <w:lang w:eastAsia="es-ES"/>
              </w:rPr>
              <w:t>.</w:t>
            </w:r>
            <w:r w:rsidRPr="008B6471">
              <w:rPr>
                <w:rFonts w:cs="Arial"/>
                <w:color w:val="000000"/>
                <w:sz w:val="20"/>
                <w:lang w:eastAsia="es-ES"/>
              </w:rPr>
              <w:t>6</w:t>
            </w:r>
          </w:p>
        </w:tc>
        <w:tc>
          <w:tcPr>
            <w:tcW w:w="529" w:type="pct"/>
            <w:noWrap/>
            <w:hideMark/>
          </w:tcPr>
          <w:p w14:paraId="477D55D9" w14:textId="19F25C75" w:rsidR="001E08D2" w:rsidRPr="008B6471" w:rsidRDefault="001E08D2" w:rsidP="00B446F1">
            <w:pPr>
              <w:jc w:val="right"/>
              <w:rPr>
                <w:rFonts w:cs="Arial"/>
                <w:color w:val="000000"/>
                <w:sz w:val="20"/>
                <w:lang w:eastAsia="es-ES"/>
              </w:rPr>
            </w:pPr>
            <w:r w:rsidRPr="008B6471">
              <w:rPr>
                <w:rFonts w:cs="Arial"/>
                <w:color w:val="000000"/>
                <w:sz w:val="20"/>
                <w:lang w:eastAsia="es-ES"/>
              </w:rPr>
              <w:t>7</w:t>
            </w:r>
            <w:r w:rsidR="004E08D9" w:rsidRPr="008B6471">
              <w:rPr>
                <w:rFonts w:cs="Arial"/>
                <w:color w:val="000000"/>
                <w:sz w:val="20"/>
                <w:lang w:eastAsia="es-ES"/>
              </w:rPr>
              <w:t>.</w:t>
            </w:r>
            <w:r w:rsidRPr="008B6471">
              <w:rPr>
                <w:rFonts w:cs="Arial"/>
                <w:color w:val="000000"/>
                <w:sz w:val="20"/>
                <w:lang w:eastAsia="es-ES"/>
              </w:rPr>
              <w:t>9</w:t>
            </w:r>
          </w:p>
        </w:tc>
        <w:tc>
          <w:tcPr>
            <w:tcW w:w="530" w:type="pct"/>
            <w:noWrap/>
            <w:hideMark/>
          </w:tcPr>
          <w:p w14:paraId="2E53339C" w14:textId="62CFDDBC" w:rsidR="001E08D2" w:rsidRPr="008B6471" w:rsidRDefault="001E08D2" w:rsidP="00B446F1">
            <w:pPr>
              <w:jc w:val="right"/>
              <w:rPr>
                <w:rFonts w:cs="Arial"/>
                <w:color w:val="000000"/>
                <w:sz w:val="20"/>
                <w:lang w:eastAsia="es-ES"/>
              </w:rPr>
            </w:pPr>
            <w:r w:rsidRPr="008B6471">
              <w:rPr>
                <w:rFonts w:cs="Arial"/>
                <w:color w:val="000000"/>
                <w:sz w:val="20"/>
                <w:lang w:eastAsia="es-ES"/>
              </w:rPr>
              <w:t>8</w:t>
            </w:r>
            <w:r w:rsidR="004E08D9" w:rsidRPr="008B6471">
              <w:rPr>
                <w:rFonts w:cs="Arial"/>
                <w:color w:val="000000"/>
                <w:sz w:val="20"/>
                <w:lang w:eastAsia="es-ES"/>
              </w:rPr>
              <w:t>.</w:t>
            </w:r>
            <w:r w:rsidRPr="008B6471">
              <w:rPr>
                <w:rFonts w:cs="Arial"/>
                <w:color w:val="000000"/>
                <w:sz w:val="20"/>
                <w:lang w:eastAsia="es-ES"/>
              </w:rPr>
              <w:t>4</w:t>
            </w:r>
          </w:p>
        </w:tc>
        <w:tc>
          <w:tcPr>
            <w:tcW w:w="530" w:type="pct"/>
            <w:noWrap/>
            <w:hideMark/>
          </w:tcPr>
          <w:p w14:paraId="48EFAFFA" w14:textId="7F714C6B" w:rsidR="001E08D2" w:rsidRPr="008B6471" w:rsidRDefault="001E08D2" w:rsidP="00B446F1">
            <w:pPr>
              <w:jc w:val="right"/>
              <w:rPr>
                <w:rFonts w:cs="Arial"/>
                <w:color w:val="000000"/>
                <w:sz w:val="20"/>
                <w:lang w:eastAsia="es-ES"/>
              </w:rPr>
            </w:pPr>
            <w:r w:rsidRPr="008B6471">
              <w:rPr>
                <w:rFonts w:cs="Arial"/>
                <w:color w:val="000000"/>
                <w:sz w:val="20"/>
                <w:lang w:eastAsia="es-ES"/>
              </w:rPr>
              <w:t>8</w:t>
            </w:r>
            <w:r w:rsidR="004E08D9" w:rsidRPr="008B6471">
              <w:rPr>
                <w:rFonts w:cs="Arial"/>
                <w:color w:val="000000"/>
                <w:sz w:val="20"/>
                <w:lang w:eastAsia="es-ES"/>
              </w:rPr>
              <w:t>.</w:t>
            </w:r>
            <w:r w:rsidRPr="008B6471">
              <w:rPr>
                <w:rFonts w:cs="Arial"/>
                <w:color w:val="000000"/>
                <w:sz w:val="20"/>
                <w:lang w:eastAsia="es-ES"/>
              </w:rPr>
              <w:t>5</w:t>
            </w:r>
          </w:p>
        </w:tc>
        <w:tc>
          <w:tcPr>
            <w:tcW w:w="530" w:type="pct"/>
            <w:noWrap/>
            <w:hideMark/>
          </w:tcPr>
          <w:p w14:paraId="2E3EEE86" w14:textId="2DDFF19E" w:rsidR="001E08D2" w:rsidRPr="008B6471" w:rsidRDefault="001E08D2" w:rsidP="00B446F1">
            <w:pPr>
              <w:jc w:val="right"/>
              <w:rPr>
                <w:rFonts w:cs="Arial"/>
                <w:color w:val="000000"/>
                <w:sz w:val="20"/>
                <w:lang w:eastAsia="es-ES"/>
              </w:rPr>
            </w:pPr>
            <w:r w:rsidRPr="008B6471">
              <w:rPr>
                <w:rFonts w:cs="Arial"/>
                <w:color w:val="000000"/>
                <w:sz w:val="20"/>
                <w:lang w:eastAsia="es-ES"/>
              </w:rPr>
              <w:t>9</w:t>
            </w:r>
            <w:r w:rsidR="004E08D9" w:rsidRPr="008B6471">
              <w:rPr>
                <w:rFonts w:cs="Arial"/>
                <w:color w:val="000000"/>
                <w:sz w:val="20"/>
                <w:lang w:eastAsia="es-ES"/>
              </w:rPr>
              <w:t>.</w:t>
            </w:r>
            <w:r w:rsidRPr="008B6471">
              <w:rPr>
                <w:rFonts w:cs="Arial"/>
                <w:color w:val="000000"/>
                <w:sz w:val="20"/>
                <w:lang w:eastAsia="es-ES"/>
              </w:rPr>
              <w:t>4</w:t>
            </w:r>
          </w:p>
        </w:tc>
        <w:tc>
          <w:tcPr>
            <w:tcW w:w="606" w:type="pct"/>
            <w:noWrap/>
            <w:hideMark/>
          </w:tcPr>
          <w:p w14:paraId="3F516951" w14:textId="0A856C96" w:rsidR="001E08D2" w:rsidRPr="008B6471" w:rsidRDefault="001E08D2" w:rsidP="00B446F1">
            <w:pPr>
              <w:jc w:val="right"/>
              <w:rPr>
                <w:rFonts w:cs="Arial"/>
                <w:color w:val="000000"/>
                <w:sz w:val="20"/>
                <w:lang w:eastAsia="es-ES"/>
              </w:rPr>
            </w:pPr>
            <w:r w:rsidRPr="008B6471">
              <w:rPr>
                <w:rFonts w:cs="Arial"/>
                <w:color w:val="000000"/>
                <w:sz w:val="20"/>
                <w:lang w:eastAsia="es-ES"/>
              </w:rPr>
              <w:t>10</w:t>
            </w:r>
            <w:r w:rsidR="004E08D9" w:rsidRPr="008B6471">
              <w:rPr>
                <w:rFonts w:cs="Arial"/>
                <w:color w:val="000000"/>
                <w:sz w:val="20"/>
                <w:lang w:eastAsia="es-ES"/>
              </w:rPr>
              <w:t>.</w:t>
            </w:r>
            <w:r w:rsidRPr="008B6471">
              <w:rPr>
                <w:rFonts w:cs="Arial"/>
                <w:color w:val="000000"/>
                <w:sz w:val="20"/>
                <w:lang w:eastAsia="es-ES"/>
              </w:rPr>
              <w:t>0</w:t>
            </w:r>
          </w:p>
        </w:tc>
        <w:tc>
          <w:tcPr>
            <w:tcW w:w="607" w:type="pct"/>
            <w:noWrap/>
            <w:hideMark/>
          </w:tcPr>
          <w:p w14:paraId="31420BB6" w14:textId="0A63F263" w:rsidR="001E08D2" w:rsidRPr="008B6471" w:rsidRDefault="001E08D2" w:rsidP="00B446F1">
            <w:pPr>
              <w:jc w:val="right"/>
              <w:rPr>
                <w:rFonts w:cs="Arial"/>
                <w:color w:val="000000"/>
                <w:sz w:val="20"/>
                <w:lang w:eastAsia="es-ES"/>
              </w:rPr>
            </w:pPr>
            <w:r w:rsidRPr="008B6471">
              <w:rPr>
                <w:rFonts w:cs="Arial"/>
                <w:color w:val="000000"/>
                <w:sz w:val="20"/>
                <w:lang w:eastAsia="es-ES"/>
              </w:rPr>
              <w:t>10</w:t>
            </w:r>
            <w:r w:rsidR="004E08D9" w:rsidRPr="008B6471">
              <w:rPr>
                <w:rFonts w:cs="Arial"/>
                <w:color w:val="000000"/>
                <w:sz w:val="20"/>
                <w:lang w:eastAsia="es-ES"/>
              </w:rPr>
              <w:t>.</w:t>
            </w:r>
            <w:r w:rsidRPr="008B6471">
              <w:rPr>
                <w:rFonts w:cs="Arial"/>
                <w:color w:val="000000"/>
                <w:sz w:val="20"/>
                <w:lang w:eastAsia="es-ES"/>
              </w:rPr>
              <w:t>0</w:t>
            </w:r>
          </w:p>
        </w:tc>
      </w:tr>
      <w:tr w:rsidR="00111156" w:rsidRPr="008B6471" w14:paraId="6F14C5C5" w14:textId="77777777" w:rsidTr="008B6471">
        <w:trPr>
          <w:trHeight w:val="290"/>
        </w:trPr>
        <w:tc>
          <w:tcPr>
            <w:tcW w:w="1139" w:type="pct"/>
            <w:noWrap/>
            <w:hideMark/>
          </w:tcPr>
          <w:p w14:paraId="11FF272E" w14:textId="77777777" w:rsidR="001E08D2" w:rsidRPr="008B6471" w:rsidRDefault="001E08D2" w:rsidP="00EE2C62">
            <w:pPr>
              <w:jc w:val="left"/>
              <w:rPr>
                <w:rFonts w:cs="Arial"/>
                <w:color w:val="000000"/>
                <w:sz w:val="20"/>
                <w:lang w:eastAsia="es-ES"/>
              </w:rPr>
            </w:pPr>
            <w:r w:rsidRPr="008B6471">
              <w:rPr>
                <w:rFonts w:cs="Arial"/>
                <w:color w:val="000000"/>
                <w:sz w:val="20"/>
                <w:lang w:eastAsia="es-ES"/>
              </w:rPr>
              <w:t>Economic benefit for Family Care</w:t>
            </w:r>
          </w:p>
        </w:tc>
        <w:tc>
          <w:tcPr>
            <w:tcW w:w="529" w:type="pct"/>
            <w:noWrap/>
            <w:hideMark/>
          </w:tcPr>
          <w:p w14:paraId="048EB9E6" w14:textId="0C5DB34B" w:rsidR="001E08D2" w:rsidRPr="008B6471" w:rsidRDefault="001E08D2" w:rsidP="00B446F1">
            <w:pPr>
              <w:jc w:val="right"/>
              <w:rPr>
                <w:rFonts w:cs="Arial"/>
                <w:color w:val="000000"/>
                <w:sz w:val="20"/>
                <w:lang w:eastAsia="es-ES"/>
              </w:rPr>
            </w:pPr>
            <w:r w:rsidRPr="008B6471">
              <w:rPr>
                <w:rFonts w:cs="Arial"/>
                <w:color w:val="000000"/>
                <w:sz w:val="20"/>
                <w:lang w:eastAsia="es-ES"/>
              </w:rPr>
              <w:t>43</w:t>
            </w:r>
            <w:r w:rsidR="004E08D9" w:rsidRPr="008B6471">
              <w:rPr>
                <w:rFonts w:cs="Arial"/>
                <w:color w:val="000000"/>
                <w:sz w:val="20"/>
                <w:lang w:eastAsia="es-ES"/>
              </w:rPr>
              <w:t>.</w:t>
            </w:r>
            <w:r w:rsidRPr="008B6471">
              <w:rPr>
                <w:rFonts w:cs="Arial"/>
                <w:color w:val="000000"/>
                <w:sz w:val="20"/>
                <w:lang w:eastAsia="es-ES"/>
              </w:rPr>
              <w:t>2</w:t>
            </w:r>
          </w:p>
        </w:tc>
        <w:tc>
          <w:tcPr>
            <w:tcW w:w="529" w:type="pct"/>
            <w:noWrap/>
            <w:hideMark/>
          </w:tcPr>
          <w:p w14:paraId="727E6A25" w14:textId="704A44D7" w:rsidR="001E08D2" w:rsidRPr="008B6471" w:rsidRDefault="001E08D2" w:rsidP="00B446F1">
            <w:pPr>
              <w:jc w:val="right"/>
              <w:rPr>
                <w:rFonts w:cs="Arial"/>
                <w:color w:val="000000"/>
                <w:sz w:val="20"/>
                <w:lang w:eastAsia="es-ES"/>
              </w:rPr>
            </w:pPr>
            <w:r w:rsidRPr="008B6471">
              <w:rPr>
                <w:rFonts w:cs="Arial"/>
                <w:color w:val="000000"/>
                <w:sz w:val="20"/>
                <w:lang w:eastAsia="es-ES"/>
              </w:rPr>
              <w:t>40</w:t>
            </w:r>
            <w:r w:rsidR="004E08D9" w:rsidRPr="008B6471">
              <w:rPr>
                <w:rFonts w:cs="Arial"/>
                <w:color w:val="000000"/>
                <w:sz w:val="20"/>
                <w:lang w:eastAsia="es-ES"/>
              </w:rPr>
              <w:t>.</w:t>
            </w:r>
            <w:r w:rsidRPr="008B6471">
              <w:rPr>
                <w:rFonts w:cs="Arial"/>
                <w:color w:val="000000"/>
                <w:sz w:val="20"/>
                <w:lang w:eastAsia="es-ES"/>
              </w:rPr>
              <w:t>3</w:t>
            </w:r>
          </w:p>
        </w:tc>
        <w:tc>
          <w:tcPr>
            <w:tcW w:w="530" w:type="pct"/>
            <w:noWrap/>
            <w:hideMark/>
          </w:tcPr>
          <w:p w14:paraId="76BAF31E" w14:textId="6C1732D6" w:rsidR="001E08D2" w:rsidRPr="008B6471" w:rsidRDefault="001E08D2" w:rsidP="00B446F1">
            <w:pPr>
              <w:jc w:val="right"/>
              <w:rPr>
                <w:rFonts w:cs="Arial"/>
                <w:color w:val="000000"/>
                <w:sz w:val="20"/>
                <w:lang w:eastAsia="es-ES"/>
              </w:rPr>
            </w:pPr>
            <w:r w:rsidRPr="008B6471">
              <w:rPr>
                <w:rFonts w:cs="Arial"/>
                <w:color w:val="000000"/>
                <w:sz w:val="20"/>
                <w:lang w:eastAsia="es-ES"/>
              </w:rPr>
              <w:t>36</w:t>
            </w:r>
            <w:r w:rsidR="004E08D9" w:rsidRPr="008B6471">
              <w:rPr>
                <w:rFonts w:cs="Arial"/>
                <w:color w:val="000000"/>
                <w:sz w:val="20"/>
                <w:lang w:eastAsia="es-ES"/>
              </w:rPr>
              <w:t>.</w:t>
            </w:r>
            <w:r w:rsidRPr="008B6471">
              <w:rPr>
                <w:rFonts w:cs="Arial"/>
                <w:color w:val="000000"/>
                <w:sz w:val="20"/>
                <w:lang w:eastAsia="es-ES"/>
              </w:rPr>
              <w:t>1</w:t>
            </w:r>
          </w:p>
        </w:tc>
        <w:tc>
          <w:tcPr>
            <w:tcW w:w="530" w:type="pct"/>
            <w:noWrap/>
            <w:hideMark/>
          </w:tcPr>
          <w:p w14:paraId="7D0DB277" w14:textId="75481AE7" w:rsidR="001E08D2" w:rsidRPr="008B6471" w:rsidRDefault="001E08D2" w:rsidP="00B446F1">
            <w:pPr>
              <w:jc w:val="right"/>
              <w:rPr>
                <w:rFonts w:cs="Arial"/>
                <w:color w:val="000000"/>
                <w:sz w:val="20"/>
                <w:lang w:eastAsia="es-ES"/>
              </w:rPr>
            </w:pPr>
            <w:r w:rsidRPr="008B6471">
              <w:rPr>
                <w:rFonts w:cs="Arial"/>
                <w:color w:val="000000"/>
                <w:sz w:val="20"/>
                <w:lang w:eastAsia="es-ES"/>
              </w:rPr>
              <w:t>33</w:t>
            </w:r>
            <w:r w:rsidR="004E08D9" w:rsidRPr="008B6471">
              <w:rPr>
                <w:rFonts w:cs="Arial"/>
                <w:color w:val="000000"/>
                <w:sz w:val="20"/>
                <w:lang w:eastAsia="es-ES"/>
              </w:rPr>
              <w:t>.</w:t>
            </w:r>
            <w:r w:rsidRPr="008B6471">
              <w:rPr>
                <w:rFonts w:cs="Arial"/>
                <w:color w:val="000000"/>
                <w:sz w:val="20"/>
                <w:lang w:eastAsia="es-ES"/>
              </w:rPr>
              <w:t>8</w:t>
            </w:r>
          </w:p>
        </w:tc>
        <w:tc>
          <w:tcPr>
            <w:tcW w:w="530" w:type="pct"/>
            <w:noWrap/>
            <w:hideMark/>
          </w:tcPr>
          <w:p w14:paraId="11848714" w14:textId="4197FE7E" w:rsidR="001E08D2" w:rsidRPr="008B6471" w:rsidRDefault="001E08D2" w:rsidP="00B446F1">
            <w:pPr>
              <w:jc w:val="right"/>
              <w:rPr>
                <w:rFonts w:cs="Arial"/>
                <w:color w:val="000000"/>
                <w:sz w:val="20"/>
                <w:lang w:eastAsia="es-ES"/>
              </w:rPr>
            </w:pPr>
            <w:r w:rsidRPr="008B6471">
              <w:rPr>
                <w:rFonts w:cs="Arial"/>
                <w:color w:val="000000"/>
                <w:sz w:val="20"/>
                <w:lang w:eastAsia="es-ES"/>
              </w:rPr>
              <w:t>32</w:t>
            </w:r>
            <w:r w:rsidR="004E08D9" w:rsidRPr="008B6471">
              <w:rPr>
                <w:rFonts w:cs="Arial"/>
                <w:color w:val="000000"/>
                <w:sz w:val="20"/>
                <w:lang w:eastAsia="es-ES"/>
              </w:rPr>
              <w:t>.</w:t>
            </w:r>
            <w:r w:rsidRPr="008B6471">
              <w:rPr>
                <w:rFonts w:cs="Arial"/>
                <w:color w:val="000000"/>
                <w:sz w:val="20"/>
                <w:lang w:eastAsia="es-ES"/>
              </w:rPr>
              <w:t>7</w:t>
            </w:r>
          </w:p>
        </w:tc>
        <w:tc>
          <w:tcPr>
            <w:tcW w:w="606" w:type="pct"/>
            <w:noWrap/>
            <w:hideMark/>
          </w:tcPr>
          <w:p w14:paraId="243EC9E2" w14:textId="631BE349" w:rsidR="001E08D2" w:rsidRPr="008B6471" w:rsidRDefault="001E08D2" w:rsidP="00B446F1">
            <w:pPr>
              <w:jc w:val="right"/>
              <w:rPr>
                <w:rFonts w:cs="Arial"/>
                <w:color w:val="000000"/>
                <w:sz w:val="20"/>
                <w:lang w:eastAsia="es-ES"/>
              </w:rPr>
            </w:pPr>
            <w:r w:rsidRPr="008B6471">
              <w:rPr>
                <w:rFonts w:cs="Arial"/>
                <w:color w:val="000000"/>
                <w:sz w:val="20"/>
                <w:lang w:eastAsia="es-ES"/>
              </w:rPr>
              <w:t>30</w:t>
            </w:r>
            <w:r w:rsidR="004E08D9" w:rsidRPr="008B6471">
              <w:rPr>
                <w:rFonts w:cs="Arial"/>
                <w:color w:val="000000"/>
                <w:sz w:val="20"/>
                <w:lang w:eastAsia="es-ES"/>
              </w:rPr>
              <w:t>.</w:t>
            </w:r>
            <w:r w:rsidRPr="008B6471">
              <w:rPr>
                <w:rFonts w:cs="Arial"/>
                <w:color w:val="000000"/>
                <w:sz w:val="20"/>
                <w:lang w:eastAsia="es-ES"/>
              </w:rPr>
              <w:t>8</w:t>
            </w:r>
          </w:p>
        </w:tc>
        <w:tc>
          <w:tcPr>
            <w:tcW w:w="607" w:type="pct"/>
            <w:noWrap/>
            <w:hideMark/>
          </w:tcPr>
          <w:p w14:paraId="17D39EBF" w14:textId="40C3E63F" w:rsidR="001E08D2" w:rsidRPr="008B6471" w:rsidRDefault="001E08D2" w:rsidP="00B446F1">
            <w:pPr>
              <w:jc w:val="right"/>
              <w:rPr>
                <w:rFonts w:cs="Arial"/>
                <w:color w:val="000000"/>
                <w:sz w:val="20"/>
                <w:lang w:eastAsia="es-ES"/>
              </w:rPr>
            </w:pPr>
            <w:r w:rsidRPr="008B6471">
              <w:rPr>
                <w:rFonts w:cs="Arial"/>
                <w:color w:val="000000"/>
                <w:sz w:val="20"/>
                <w:lang w:eastAsia="es-ES"/>
              </w:rPr>
              <w:t>30</w:t>
            </w:r>
            <w:r w:rsidR="004E08D9" w:rsidRPr="008B6471">
              <w:rPr>
                <w:rFonts w:cs="Arial"/>
                <w:color w:val="000000"/>
                <w:sz w:val="20"/>
                <w:lang w:eastAsia="es-ES"/>
              </w:rPr>
              <w:t>.</w:t>
            </w:r>
            <w:r w:rsidRPr="008B6471">
              <w:rPr>
                <w:rFonts w:cs="Arial"/>
                <w:color w:val="000000"/>
                <w:sz w:val="20"/>
                <w:lang w:eastAsia="es-ES"/>
              </w:rPr>
              <w:t>8</w:t>
            </w:r>
          </w:p>
        </w:tc>
      </w:tr>
      <w:tr w:rsidR="00111156" w:rsidRPr="008B6471" w14:paraId="7D01DCB9" w14:textId="77777777" w:rsidTr="008B6471">
        <w:trPr>
          <w:trHeight w:val="290"/>
        </w:trPr>
        <w:tc>
          <w:tcPr>
            <w:tcW w:w="1139" w:type="pct"/>
            <w:noWrap/>
            <w:hideMark/>
          </w:tcPr>
          <w:p w14:paraId="71882128" w14:textId="77777777" w:rsidR="001E08D2" w:rsidRPr="008B6471" w:rsidRDefault="001E08D2" w:rsidP="00EE2C62">
            <w:pPr>
              <w:jc w:val="left"/>
              <w:rPr>
                <w:rFonts w:cs="Arial"/>
                <w:color w:val="000000"/>
                <w:sz w:val="20"/>
                <w:lang w:eastAsia="es-ES"/>
              </w:rPr>
            </w:pPr>
            <w:r w:rsidRPr="008B6471">
              <w:rPr>
                <w:rFonts w:cs="Arial"/>
                <w:color w:val="000000"/>
                <w:sz w:val="20"/>
                <w:lang w:eastAsia="es-ES"/>
              </w:rPr>
              <w:t>Economic benefit for personal assistant</w:t>
            </w:r>
          </w:p>
        </w:tc>
        <w:tc>
          <w:tcPr>
            <w:tcW w:w="529" w:type="pct"/>
            <w:noWrap/>
            <w:hideMark/>
          </w:tcPr>
          <w:p w14:paraId="0E6CF298" w14:textId="56CC9E61" w:rsidR="001E08D2" w:rsidRPr="008B6471" w:rsidRDefault="001E08D2" w:rsidP="00B446F1">
            <w:pPr>
              <w:jc w:val="right"/>
              <w:rPr>
                <w:rFonts w:cs="Arial"/>
                <w:color w:val="000000"/>
                <w:sz w:val="20"/>
                <w:lang w:eastAsia="es-ES"/>
              </w:rPr>
            </w:pPr>
            <w:r w:rsidRPr="008B6471">
              <w:rPr>
                <w:rFonts w:cs="Arial"/>
                <w:color w:val="000000"/>
                <w:sz w:val="20"/>
                <w:lang w:eastAsia="es-ES"/>
              </w:rPr>
              <w:t>0</w:t>
            </w:r>
            <w:r w:rsidR="004E08D9" w:rsidRPr="008B6471">
              <w:rPr>
                <w:rFonts w:cs="Arial"/>
                <w:color w:val="000000"/>
                <w:sz w:val="20"/>
                <w:lang w:eastAsia="es-ES"/>
              </w:rPr>
              <w:t>.</w:t>
            </w:r>
            <w:r w:rsidRPr="008B6471">
              <w:rPr>
                <w:rFonts w:cs="Arial"/>
                <w:color w:val="000000"/>
                <w:sz w:val="20"/>
                <w:lang w:eastAsia="es-ES"/>
              </w:rPr>
              <w:t>2</w:t>
            </w:r>
          </w:p>
        </w:tc>
        <w:tc>
          <w:tcPr>
            <w:tcW w:w="529" w:type="pct"/>
            <w:noWrap/>
            <w:hideMark/>
          </w:tcPr>
          <w:p w14:paraId="04A37CD3" w14:textId="1DCF1845" w:rsidR="001E08D2" w:rsidRPr="008B6471" w:rsidRDefault="001E08D2" w:rsidP="00B446F1">
            <w:pPr>
              <w:jc w:val="right"/>
              <w:rPr>
                <w:rFonts w:cs="Arial"/>
                <w:color w:val="000000"/>
                <w:sz w:val="20"/>
                <w:lang w:eastAsia="es-ES"/>
              </w:rPr>
            </w:pPr>
            <w:r w:rsidRPr="008B6471">
              <w:rPr>
                <w:rFonts w:cs="Arial"/>
                <w:color w:val="000000"/>
                <w:sz w:val="20"/>
                <w:lang w:eastAsia="es-ES"/>
              </w:rPr>
              <w:t>0</w:t>
            </w:r>
            <w:r w:rsidR="004E08D9" w:rsidRPr="008B6471">
              <w:rPr>
                <w:rFonts w:cs="Arial"/>
                <w:color w:val="000000"/>
                <w:sz w:val="20"/>
                <w:lang w:eastAsia="es-ES"/>
              </w:rPr>
              <w:t>.</w:t>
            </w:r>
            <w:r w:rsidRPr="008B6471">
              <w:rPr>
                <w:rFonts w:cs="Arial"/>
                <w:color w:val="000000"/>
                <w:sz w:val="20"/>
                <w:lang w:eastAsia="es-ES"/>
              </w:rPr>
              <w:t>2</w:t>
            </w:r>
          </w:p>
        </w:tc>
        <w:tc>
          <w:tcPr>
            <w:tcW w:w="530" w:type="pct"/>
            <w:noWrap/>
            <w:hideMark/>
          </w:tcPr>
          <w:p w14:paraId="0EF868B2" w14:textId="11DB3C59" w:rsidR="001E08D2" w:rsidRPr="008B6471" w:rsidRDefault="001E08D2" w:rsidP="00B446F1">
            <w:pPr>
              <w:jc w:val="right"/>
              <w:rPr>
                <w:rFonts w:cs="Arial"/>
                <w:color w:val="000000"/>
                <w:sz w:val="20"/>
                <w:lang w:eastAsia="es-ES"/>
              </w:rPr>
            </w:pPr>
            <w:r w:rsidRPr="008B6471">
              <w:rPr>
                <w:rFonts w:cs="Arial"/>
                <w:color w:val="000000"/>
                <w:sz w:val="20"/>
                <w:lang w:eastAsia="es-ES"/>
              </w:rPr>
              <w:t>0</w:t>
            </w:r>
            <w:r w:rsidR="004E08D9" w:rsidRPr="008B6471">
              <w:rPr>
                <w:rFonts w:cs="Arial"/>
                <w:color w:val="000000"/>
                <w:sz w:val="20"/>
                <w:lang w:eastAsia="es-ES"/>
              </w:rPr>
              <w:t>.</w:t>
            </w:r>
            <w:r w:rsidRPr="008B6471">
              <w:rPr>
                <w:rFonts w:cs="Arial"/>
                <w:color w:val="000000"/>
                <w:sz w:val="20"/>
                <w:lang w:eastAsia="es-ES"/>
              </w:rPr>
              <w:t>3</w:t>
            </w:r>
          </w:p>
        </w:tc>
        <w:tc>
          <w:tcPr>
            <w:tcW w:w="530" w:type="pct"/>
            <w:noWrap/>
            <w:hideMark/>
          </w:tcPr>
          <w:p w14:paraId="6AD5376C" w14:textId="75AD14A3" w:rsidR="001E08D2" w:rsidRPr="008B6471" w:rsidRDefault="001E08D2" w:rsidP="00B446F1">
            <w:pPr>
              <w:jc w:val="right"/>
              <w:rPr>
                <w:rFonts w:cs="Arial"/>
                <w:color w:val="000000"/>
                <w:sz w:val="20"/>
                <w:lang w:eastAsia="es-ES"/>
              </w:rPr>
            </w:pPr>
            <w:r w:rsidRPr="008B6471">
              <w:rPr>
                <w:rFonts w:cs="Arial"/>
                <w:color w:val="000000"/>
                <w:sz w:val="20"/>
                <w:lang w:eastAsia="es-ES"/>
              </w:rPr>
              <w:t>0</w:t>
            </w:r>
            <w:r w:rsidR="004E08D9" w:rsidRPr="008B6471">
              <w:rPr>
                <w:rFonts w:cs="Arial"/>
                <w:color w:val="000000"/>
                <w:sz w:val="20"/>
                <w:lang w:eastAsia="es-ES"/>
              </w:rPr>
              <w:t>.</w:t>
            </w:r>
            <w:r w:rsidRPr="008B6471">
              <w:rPr>
                <w:rFonts w:cs="Arial"/>
                <w:color w:val="000000"/>
                <w:sz w:val="20"/>
                <w:lang w:eastAsia="es-ES"/>
              </w:rPr>
              <w:t>5</w:t>
            </w:r>
          </w:p>
        </w:tc>
        <w:tc>
          <w:tcPr>
            <w:tcW w:w="530" w:type="pct"/>
            <w:noWrap/>
            <w:hideMark/>
          </w:tcPr>
          <w:p w14:paraId="10BC245F" w14:textId="1A89F5DD" w:rsidR="001E08D2" w:rsidRPr="008B6471" w:rsidRDefault="001E08D2" w:rsidP="00B446F1">
            <w:pPr>
              <w:jc w:val="right"/>
              <w:rPr>
                <w:rFonts w:cs="Arial"/>
                <w:color w:val="000000"/>
                <w:sz w:val="20"/>
                <w:lang w:eastAsia="es-ES"/>
              </w:rPr>
            </w:pPr>
            <w:r w:rsidRPr="008B6471">
              <w:rPr>
                <w:rFonts w:cs="Arial"/>
                <w:color w:val="000000"/>
                <w:sz w:val="20"/>
                <w:lang w:eastAsia="es-ES"/>
              </w:rPr>
              <w:t>0</w:t>
            </w:r>
            <w:r w:rsidR="004E08D9" w:rsidRPr="008B6471">
              <w:rPr>
                <w:rFonts w:cs="Arial"/>
                <w:color w:val="000000"/>
                <w:sz w:val="20"/>
                <w:lang w:eastAsia="es-ES"/>
              </w:rPr>
              <w:t>.</w:t>
            </w:r>
            <w:r w:rsidRPr="008B6471">
              <w:rPr>
                <w:rFonts w:cs="Arial"/>
                <w:color w:val="000000"/>
                <w:sz w:val="20"/>
                <w:lang w:eastAsia="es-ES"/>
              </w:rPr>
              <w:t>6</w:t>
            </w:r>
          </w:p>
        </w:tc>
        <w:tc>
          <w:tcPr>
            <w:tcW w:w="606" w:type="pct"/>
            <w:noWrap/>
            <w:hideMark/>
          </w:tcPr>
          <w:p w14:paraId="1CCC06FD" w14:textId="470F4615" w:rsidR="001E08D2" w:rsidRPr="008B6471" w:rsidRDefault="001E08D2" w:rsidP="00B446F1">
            <w:pPr>
              <w:jc w:val="right"/>
              <w:rPr>
                <w:rFonts w:cs="Arial"/>
                <w:color w:val="000000"/>
                <w:sz w:val="20"/>
                <w:lang w:eastAsia="es-ES"/>
              </w:rPr>
            </w:pPr>
            <w:r w:rsidRPr="008B6471">
              <w:rPr>
                <w:rFonts w:cs="Arial"/>
                <w:color w:val="000000"/>
                <w:sz w:val="20"/>
                <w:lang w:eastAsia="es-ES"/>
              </w:rPr>
              <w:t>0</w:t>
            </w:r>
            <w:r w:rsidR="004E08D9" w:rsidRPr="008B6471">
              <w:rPr>
                <w:rFonts w:cs="Arial"/>
                <w:color w:val="000000"/>
                <w:sz w:val="20"/>
                <w:lang w:eastAsia="es-ES"/>
              </w:rPr>
              <w:t>.</w:t>
            </w:r>
            <w:r w:rsidRPr="008B6471">
              <w:rPr>
                <w:rFonts w:cs="Arial"/>
                <w:color w:val="000000"/>
                <w:sz w:val="20"/>
                <w:lang w:eastAsia="es-ES"/>
              </w:rPr>
              <w:t>5</w:t>
            </w:r>
          </w:p>
        </w:tc>
        <w:tc>
          <w:tcPr>
            <w:tcW w:w="607" w:type="pct"/>
            <w:noWrap/>
            <w:hideMark/>
          </w:tcPr>
          <w:p w14:paraId="5A34CD68" w14:textId="1DE42A34" w:rsidR="001E08D2" w:rsidRPr="008B6471" w:rsidRDefault="001E08D2" w:rsidP="00B446F1">
            <w:pPr>
              <w:jc w:val="right"/>
              <w:rPr>
                <w:rFonts w:cs="Arial"/>
                <w:color w:val="000000"/>
                <w:sz w:val="20"/>
                <w:lang w:eastAsia="es-ES"/>
              </w:rPr>
            </w:pPr>
            <w:r w:rsidRPr="008B6471">
              <w:rPr>
                <w:rFonts w:cs="Arial"/>
                <w:color w:val="000000"/>
                <w:sz w:val="20"/>
                <w:lang w:eastAsia="es-ES"/>
              </w:rPr>
              <w:t>0</w:t>
            </w:r>
            <w:r w:rsidR="004E08D9" w:rsidRPr="008B6471">
              <w:rPr>
                <w:rFonts w:cs="Arial"/>
                <w:color w:val="000000"/>
                <w:sz w:val="20"/>
                <w:lang w:eastAsia="es-ES"/>
              </w:rPr>
              <w:t>.</w:t>
            </w:r>
            <w:r w:rsidRPr="008B6471">
              <w:rPr>
                <w:rFonts w:cs="Arial"/>
                <w:color w:val="000000"/>
                <w:sz w:val="20"/>
                <w:lang w:eastAsia="es-ES"/>
              </w:rPr>
              <w:t>5</w:t>
            </w:r>
          </w:p>
        </w:tc>
      </w:tr>
    </w:tbl>
    <w:p w14:paraId="544A2912" w14:textId="798D3E2C" w:rsidR="001E08D2" w:rsidRPr="002A111A" w:rsidRDefault="004E08D9" w:rsidP="00B446F1">
      <w:pPr>
        <w:rPr>
          <w:rFonts w:cs="Arial"/>
          <w:szCs w:val="24"/>
        </w:rPr>
      </w:pPr>
      <w:r w:rsidRPr="002A111A">
        <w:rPr>
          <w:rFonts w:cs="Arial"/>
          <w:szCs w:val="24"/>
        </w:rPr>
        <w:t xml:space="preserve">Source: </w:t>
      </w:r>
      <w:r w:rsidR="00461DFF" w:rsidRPr="002A111A">
        <w:rPr>
          <w:rFonts w:cs="Arial"/>
          <w:szCs w:val="24"/>
        </w:rPr>
        <w:t xml:space="preserve">Developed with </w:t>
      </w:r>
      <w:r w:rsidRPr="002A111A">
        <w:rPr>
          <w:rFonts w:cs="Arial"/>
          <w:szCs w:val="24"/>
        </w:rPr>
        <w:t xml:space="preserve">Data obtained from IMSERSO </w:t>
      </w:r>
      <w:r w:rsidR="00461DFF" w:rsidRPr="002A111A">
        <w:rPr>
          <w:rFonts w:cs="Arial"/>
          <w:szCs w:val="24"/>
        </w:rPr>
        <w:t xml:space="preserve">available at: </w:t>
      </w:r>
      <w:hyperlink r:id="rId8" w:history="1">
        <w:r w:rsidR="00111156" w:rsidRPr="002A111A">
          <w:rPr>
            <w:rStyle w:val="Hyperlink"/>
            <w:rFonts w:cs="Arial"/>
            <w:szCs w:val="24"/>
          </w:rPr>
          <w:t>http://www.imserso.es/imserso_01/documentacion/estadisticas/info_d/estadisticas/est_inf/inf_gp/index.htm</w:t>
        </w:r>
      </w:hyperlink>
      <w:r w:rsidR="00111156" w:rsidRPr="002A111A">
        <w:rPr>
          <w:rFonts w:cs="Arial"/>
          <w:szCs w:val="24"/>
        </w:rPr>
        <w:t xml:space="preserve"> </w:t>
      </w:r>
    </w:p>
    <w:p w14:paraId="139E82F6" w14:textId="77777777" w:rsidR="00665D93" w:rsidRPr="002A111A" w:rsidRDefault="00665D93" w:rsidP="00B446F1">
      <w:pPr>
        <w:rPr>
          <w:rFonts w:cs="Arial"/>
          <w:szCs w:val="24"/>
        </w:rPr>
      </w:pPr>
    </w:p>
    <w:p w14:paraId="0A94D5FC" w14:textId="27033E57" w:rsidR="008F6915" w:rsidRPr="002A111A" w:rsidRDefault="00077016" w:rsidP="00B446F1">
      <w:pPr>
        <w:rPr>
          <w:rFonts w:cs="Arial"/>
          <w:szCs w:val="24"/>
        </w:rPr>
      </w:pPr>
      <w:r w:rsidRPr="002A111A">
        <w:rPr>
          <w:rFonts w:cs="Arial"/>
          <w:szCs w:val="24"/>
        </w:rPr>
        <w:t>It also seems that these residences are institutions with a medical model</w:t>
      </w:r>
      <w:r w:rsidR="001D4228" w:rsidRPr="002A111A">
        <w:rPr>
          <w:rFonts w:cs="Arial"/>
          <w:szCs w:val="24"/>
        </w:rPr>
        <w:t xml:space="preserve"> of</w:t>
      </w:r>
      <w:r w:rsidRPr="002A111A">
        <w:rPr>
          <w:rFonts w:cs="Arial"/>
          <w:szCs w:val="24"/>
        </w:rPr>
        <w:t xml:space="preserve"> service delivery approach</w:t>
      </w:r>
      <w:r w:rsidR="008F6915" w:rsidRPr="002A111A">
        <w:rPr>
          <w:rFonts w:cs="Arial"/>
          <w:szCs w:val="24"/>
        </w:rPr>
        <w:t>. The</w:t>
      </w:r>
      <w:r w:rsidRPr="002A111A">
        <w:rPr>
          <w:rFonts w:cs="Arial"/>
          <w:szCs w:val="24"/>
        </w:rPr>
        <w:t xml:space="preserve"> </w:t>
      </w:r>
      <w:r w:rsidR="001D4228" w:rsidRPr="002A111A">
        <w:rPr>
          <w:rFonts w:cs="Arial"/>
          <w:szCs w:val="24"/>
        </w:rPr>
        <w:t xml:space="preserve">2008 </w:t>
      </w:r>
      <w:r w:rsidRPr="002A111A">
        <w:rPr>
          <w:rFonts w:cs="Arial"/>
          <w:szCs w:val="24"/>
        </w:rPr>
        <w:t>INE survey revealed that people had very little capacity to decide on their daily lives (for example, the percentage of those who could decide when to get up and</w:t>
      </w:r>
      <w:r w:rsidR="008F6915" w:rsidRPr="002A111A">
        <w:rPr>
          <w:rFonts w:cs="Arial"/>
          <w:szCs w:val="24"/>
        </w:rPr>
        <w:t xml:space="preserve"> when to go to bed</w:t>
      </w:r>
      <w:r w:rsidRPr="002A111A">
        <w:rPr>
          <w:rFonts w:cs="Arial"/>
          <w:szCs w:val="24"/>
        </w:rPr>
        <w:t>, what to eat and when and with whom to share his</w:t>
      </w:r>
      <w:r w:rsidR="008F6915" w:rsidRPr="002A111A">
        <w:rPr>
          <w:rFonts w:cs="Arial"/>
          <w:szCs w:val="24"/>
        </w:rPr>
        <w:t xml:space="preserve"> or her</w:t>
      </w:r>
      <w:r w:rsidRPr="002A111A">
        <w:rPr>
          <w:rFonts w:cs="Arial"/>
          <w:szCs w:val="24"/>
        </w:rPr>
        <w:t xml:space="preserve"> room was very low)</w:t>
      </w:r>
      <w:r w:rsidR="00111156" w:rsidRPr="002A111A">
        <w:rPr>
          <w:rFonts w:cs="Arial"/>
          <w:szCs w:val="24"/>
        </w:rPr>
        <w:t>.</w:t>
      </w:r>
      <w:r w:rsidRPr="002A111A">
        <w:rPr>
          <w:rStyle w:val="FootnoteReference"/>
          <w:rFonts w:cs="Arial"/>
          <w:sz w:val="24"/>
          <w:szCs w:val="24"/>
        </w:rPr>
        <w:footnoteReference w:id="18"/>
      </w:r>
      <w:r w:rsidR="00111156" w:rsidRPr="002A111A">
        <w:rPr>
          <w:rFonts w:cs="Arial"/>
          <w:szCs w:val="24"/>
        </w:rPr>
        <w:t xml:space="preserve"> </w:t>
      </w:r>
      <w:r w:rsidR="00275A32" w:rsidRPr="002A111A">
        <w:rPr>
          <w:rFonts w:cs="Arial"/>
          <w:szCs w:val="24"/>
        </w:rPr>
        <w:t xml:space="preserve">Each autonomous community has </w:t>
      </w:r>
      <w:r w:rsidR="001D4228" w:rsidRPr="002A111A">
        <w:rPr>
          <w:rFonts w:cs="Arial"/>
          <w:szCs w:val="24"/>
        </w:rPr>
        <w:t xml:space="preserve">its </w:t>
      </w:r>
      <w:r w:rsidR="00275A32" w:rsidRPr="002A111A">
        <w:rPr>
          <w:rFonts w:cs="Arial"/>
          <w:szCs w:val="24"/>
        </w:rPr>
        <w:t xml:space="preserve">own accessibility laws that contain general principles, objectives and definitions on what accessible housing is. The technical norms are regulated by national laws. </w:t>
      </w:r>
    </w:p>
    <w:p w14:paraId="677B2E2C" w14:textId="77777777" w:rsidR="006704D7" w:rsidRPr="002A111A" w:rsidRDefault="006704D7" w:rsidP="00B446F1">
      <w:pPr>
        <w:rPr>
          <w:rFonts w:cs="Arial"/>
          <w:szCs w:val="24"/>
        </w:rPr>
      </w:pPr>
    </w:p>
    <w:p w14:paraId="5261AA90" w14:textId="7928BBAF" w:rsidR="00D87021" w:rsidRPr="002A111A" w:rsidRDefault="00275A32" w:rsidP="00B446F1">
      <w:pPr>
        <w:rPr>
          <w:rFonts w:cs="Arial"/>
          <w:szCs w:val="24"/>
        </w:rPr>
      </w:pPr>
      <w:r w:rsidRPr="002A111A">
        <w:rPr>
          <w:rFonts w:cs="Arial"/>
          <w:szCs w:val="24"/>
        </w:rPr>
        <w:t xml:space="preserve">On </w:t>
      </w:r>
      <w:r w:rsidR="00A22C73" w:rsidRPr="002A111A">
        <w:rPr>
          <w:rFonts w:cs="Arial"/>
          <w:szCs w:val="24"/>
        </w:rPr>
        <w:t xml:space="preserve">29 </w:t>
      </w:r>
      <w:r w:rsidRPr="002A111A">
        <w:rPr>
          <w:rFonts w:cs="Arial"/>
          <w:szCs w:val="24"/>
        </w:rPr>
        <w:t>November 2018, the Plenary of the General Council of the Judiciary has approved a report that endorses the draft law prepared by the Ministry of Justice to reform civil and procedural legislation on disability issues. The purpose is to adapt this legislation to the rights set forth in the Convention and</w:t>
      </w:r>
      <w:r w:rsidR="001D4228" w:rsidRPr="002A111A">
        <w:rPr>
          <w:rFonts w:cs="Arial"/>
          <w:szCs w:val="24"/>
        </w:rPr>
        <w:t>,</w:t>
      </w:r>
      <w:r w:rsidRPr="002A111A">
        <w:rPr>
          <w:rFonts w:cs="Arial"/>
          <w:szCs w:val="24"/>
        </w:rPr>
        <w:t xml:space="preserve"> more specifically</w:t>
      </w:r>
      <w:r w:rsidR="001D4228" w:rsidRPr="002A111A">
        <w:rPr>
          <w:rFonts w:cs="Arial"/>
          <w:szCs w:val="24"/>
        </w:rPr>
        <w:t>,</w:t>
      </w:r>
      <w:r w:rsidRPr="002A111A">
        <w:rPr>
          <w:rFonts w:cs="Arial"/>
          <w:szCs w:val="24"/>
        </w:rPr>
        <w:t xml:space="preserve"> in Article 12, </w:t>
      </w:r>
      <w:r w:rsidRPr="002A111A">
        <w:rPr>
          <w:rFonts w:cs="Arial"/>
          <w:szCs w:val="24"/>
        </w:rPr>
        <w:lastRenderedPageBreak/>
        <w:t>which states that persons with disabilities have full legal capacity,</w:t>
      </w:r>
      <w:r w:rsidR="00D97355" w:rsidRPr="002A111A">
        <w:rPr>
          <w:rFonts w:cs="Arial"/>
          <w:szCs w:val="24"/>
        </w:rPr>
        <w:t xml:space="preserve"> </w:t>
      </w:r>
      <w:r w:rsidRPr="002A111A">
        <w:rPr>
          <w:rFonts w:cs="Arial"/>
          <w:szCs w:val="24"/>
        </w:rPr>
        <w:t>and obliges States to implement appropriate measures that allow people with disability, having access to the support necessary in each case to fully exercise their legal capacity. It is expected that this draft will have positive consequences for the right to choose who and where to live</w:t>
      </w:r>
      <w:r w:rsidR="00111156" w:rsidRPr="002A111A">
        <w:rPr>
          <w:rFonts w:cs="Arial"/>
          <w:szCs w:val="24"/>
        </w:rPr>
        <w:t>.</w:t>
      </w:r>
      <w:r w:rsidRPr="002A111A">
        <w:rPr>
          <w:rStyle w:val="FootnoteReference"/>
          <w:rFonts w:cs="Arial"/>
          <w:sz w:val="24"/>
          <w:szCs w:val="24"/>
        </w:rPr>
        <w:footnoteReference w:id="19"/>
      </w:r>
    </w:p>
    <w:p w14:paraId="5340FC8C" w14:textId="77777777" w:rsidR="00A00966" w:rsidRPr="002A111A" w:rsidRDefault="00A00966" w:rsidP="00B446F1">
      <w:pPr>
        <w:rPr>
          <w:rFonts w:cs="Arial"/>
          <w:szCs w:val="24"/>
        </w:rPr>
      </w:pPr>
    </w:p>
    <w:p w14:paraId="3D424F67" w14:textId="378EF754" w:rsidR="008E4ACD" w:rsidRPr="002A111A" w:rsidRDefault="00D87021" w:rsidP="00B446F1">
      <w:pPr>
        <w:rPr>
          <w:rFonts w:cs="Arial"/>
          <w:szCs w:val="24"/>
        </w:rPr>
      </w:pPr>
      <w:r w:rsidRPr="002A111A">
        <w:rPr>
          <w:rFonts w:cs="Arial"/>
          <w:szCs w:val="24"/>
        </w:rPr>
        <w:t xml:space="preserve">According to the </w:t>
      </w:r>
      <w:r w:rsidRPr="00337903">
        <w:rPr>
          <w:rFonts w:cs="Arial"/>
          <w:szCs w:val="24"/>
        </w:rPr>
        <w:t>Summary overview of types and characteristics of institutional and community-based services for persons with disabilities available across the EU</w:t>
      </w:r>
      <w:r w:rsidRPr="002A111A">
        <w:rPr>
          <w:rStyle w:val="FootnoteReference"/>
          <w:rFonts w:cs="Arial"/>
          <w:sz w:val="24"/>
          <w:szCs w:val="24"/>
        </w:rPr>
        <w:footnoteReference w:id="20"/>
      </w:r>
      <w:r w:rsidRPr="002A111A">
        <w:rPr>
          <w:rFonts w:cs="Arial"/>
          <w:szCs w:val="24"/>
        </w:rPr>
        <w:t xml:space="preserve"> Spain has a broad variety of institutional services for people with disabilities: Sheltered housing, </w:t>
      </w:r>
      <w:r w:rsidR="00A22C73" w:rsidRPr="002A111A">
        <w:rPr>
          <w:rFonts w:cs="Arial"/>
          <w:szCs w:val="24"/>
        </w:rPr>
        <w:t>c</w:t>
      </w:r>
      <w:r w:rsidRPr="002A111A">
        <w:rPr>
          <w:rFonts w:cs="Arial"/>
          <w:szCs w:val="24"/>
        </w:rPr>
        <w:t xml:space="preserve">are homes, </w:t>
      </w:r>
      <w:r w:rsidR="00A22C73" w:rsidRPr="002A111A">
        <w:rPr>
          <w:rFonts w:cs="Arial"/>
          <w:szCs w:val="24"/>
        </w:rPr>
        <w:t>g</w:t>
      </w:r>
      <w:r w:rsidRPr="002A111A">
        <w:rPr>
          <w:rFonts w:cs="Arial"/>
          <w:szCs w:val="24"/>
        </w:rPr>
        <w:t xml:space="preserve">roup homes, and </w:t>
      </w:r>
      <w:r w:rsidR="00A22C73" w:rsidRPr="002A111A">
        <w:rPr>
          <w:rFonts w:cs="Arial"/>
          <w:szCs w:val="24"/>
        </w:rPr>
        <w:t>d</w:t>
      </w:r>
      <w:r w:rsidRPr="002A111A">
        <w:rPr>
          <w:rFonts w:cs="Arial"/>
          <w:szCs w:val="24"/>
        </w:rPr>
        <w:t xml:space="preserve">ay </w:t>
      </w:r>
      <w:r w:rsidR="00EE2C62" w:rsidRPr="002A111A">
        <w:rPr>
          <w:rFonts w:cs="Arial"/>
          <w:szCs w:val="24"/>
        </w:rPr>
        <w:t>centres</w:t>
      </w:r>
      <w:r w:rsidRPr="002A111A">
        <w:rPr>
          <w:rFonts w:cs="Arial"/>
          <w:szCs w:val="24"/>
        </w:rPr>
        <w:t xml:space="preserve">. It also has a broad variety of community-based services for people with disabilities: In-home, </w:t>
      </w:r>
      <w:r w:rsidR="00A22C73" w:rsidRPr="002A111A">
        <w:rPr>
          <w:rFonts w:cs="Arial"/>
          <w:szCs w:val="24"/>
        </w:rPr>
        <w:t>D</w:t>
      </w:r>
      <w:r w:rsidRPr="002A111A">
        <w:rPr>
          <w:rFonts w:cs="Arial"/>
          <w:szCs w:val="24"/>
        </w:rPr>
        <w:t xml:space="preserve">ay care </w:t>
      </w:r>
      <w:r w:rsidR="00EE2C62" w:rsidRPr="002A111A">
        <w:rPr>
          <w:rFonts w:cs="Arial"/>
          <w:szCs w:val="24"/>
        </w:rPr>
        <w:t>centres</w:t>
      </w:r>
      <w:r w:rsidRPr="002A111A">
        <w:rPr>
          <w:rFonts w:cs="Arial"/>
          <w:szCs w:val="24"/>
        </w:rPr>
        <w:t>, Residential, Foster care, Family support/respite care, Personal assistance, Direct payments/personal budget/individual budget, Peer support/counselling, Befriending. As the document states, concerning the level of user control of services, low levels of autonomy are found in relation to foster care in Spain where children seem to have little control over decisions relating to the family in which they will be placed</w:t>
      </w:r>
      <w:r w:rsidR="00111156" w:rsidRPr="002A111A">
        <w:rPr>
          <w:rFonts w:cs="Arial"/>
          <w:szCs w:val="24"/>
        </w:rPr>
        <w:t>.</w:t>
      </w:r>
      <w:r w:rsidRPr="002A111A">
        <w:rPr>
          <w:rStyle w:val="FootnoteReference"/>
          <w:rFonts w:cs="Arial"/>
          <w:sz w:val="24"/>
          <w:szCs w:val="24"/>
        </w:rPr>
        <w:footnoteReference w:id="21"/>
      </w:r>
      <w:r w:rsidRPr="002A111A">
        <w:rPr>
          <w:rFonts w:cs="Arial"/>
          <w:szCs w:val="24"/>
        </w:rPr>
        <w:t xml:space="preserve"> Also, persons with disabilities who receive personal budgets and cash payments are earmarked for particular types of services or for services authorized by the governments from the autonomous communities. Community-based services are typically funded by municipalities, drawing on funds they receive from the State, although in some cases, users are asked to contribute directly to funding services, including day care </w:t>
      </w:r>
      <w:r w:rsidR="00EE2C62" w:rsidRPr="002A111A">
        <w:rPr>
          <w:rFonts w:cs="Arial"/>
          <w:szCs w:val="24"/>
        </w:rPr>
        <w:t>centres</w:t>
      </w:r>
      <w:r w:rsidRPr="002A111A">
        <w:rPr>
          <w:rFonts w:cs="Arial"/>
          <w:szCs w:val="24"/>
        </w:rPr>
        <w:t xml:space="preserve"> and in-home support</w:t>
      </w:r>
      <w:r w:rsidR="00A22C73" w:rsidRPr="002A111A">
        <w:rPr>
          <w:rFonts w:cs="Arial"/>
          <w:szCs w:val="24"/>
        </w:rPr>
        <w:t>.</w:t>
      </w:r>
      <w:r w:rsidRPr="002A111A">
        <w:rPr>
          <w:rStyle w:val="FootnoteReference"/>
          <w:rFonts w:cs="Arial"/>
          <w:sz w:val="24"/>
          <w:szCs w:val="24"/>
        </w:rPr>
        <w:footnoteReference w:id="22"/>
      </w:r>
    </w:p>
    <w:p w14:paraId="33ECF07F" w14:textId="77777777" w:rsidR="006E7253" w:rsidRPr="002A111A" w:rsidRDefault="006E7253" w:rsidP="00B446F1">
      <w:pPr>
        <w:rPr>
          <w:rFonts w:cs="Arial"/>
          <w:szCs w:val="24"/>
        </w:rPr>
      </w:pPr>
    </w:p>
    <w:p w14:paraId="23D2F5F4" w14:textId="1339FBFC" w:rsidR="008E4ACD" w:rsidRPr="002A111A" w:rsidRDefault="008E4ACD" w:rsidP="00B446F1">
      <w:pPr>
        <w:pStyle w:val="Heading3"/>
        <w:rPr>
          <w:rFonts w:cs="Arial"/>
          <w:szCs w:val="24"/>
        </w:rPr>
      </w:pPr>
      <w:r w:rsidRPr="002A111A">
        <w:rPr>
          <w:rFonts w:cs="Arial"/>
          <w:szCs w:val="24"/>
        </w:rPr>
        <w:t>Trend since 2013</w:t>
      </w:r>
    </w:p>
    <w:p w14:paraId="00EC0B26" w14:textId="77777777" w:rsidR="00111156" w:rsidRPr="002A111A" w:rsidRDefault="00111156" w:rsidP="00111156">
      <w:pPr>
        <w:rPr>
          <w:rFonts w:cs="Arial"/>
          <w:szCs w:val="24"/>
        </w:rPr>
      </w:pPr>
    </w:p>
    <w:p w14:paraId="6F3265DC" w14:textId="58A1B3C6" w:rsidR="00734DE1" w:rsidRPr="002A111A" w:rsidRDefault="003A7D90" w:rsidP="00111156">
      <w:pPr>
        <w:rPr>
          <w:rFonts w:cs="Arial"/>
          <w:szCs w:val="24"/>
        </w:rPr>
      </w:pPr>
      <w:r w:rsidRPr="002A111A">
        <w:rPr>
          <w:rFonts w:cs="Arial"/>
          <w:szCs w:val="24"/>
        </w:rPr>
        <w:t>There is a trend, although not at a very rapid pace, to increase the number of places of residence</w:t>
      </w:r>
      <w:r w:rsidR="005456BF" w:rsidRPr="002A111A">
        <w:rPr>
          <w:rFonts w:cs="Arial"/>
          <w:szCs w:val="24"/>
        </w:rPr>
        <w:t xml:space="preserve"> in institutions</w:t>
      </w:r>
      <w:r w:rsidR="00111156" w:rsidRPr="002A111A">
        <w:rPr>
          <w:rFonts w:cs="Arial"/>
          <w:szCs w:val="24"/>
        </w:rPr>
        <w:t>.</w:t>
      </w:r>
      <w:r w:rsidRPr="002A111A">
        <w:rPr>
          <w:rStyle w:val="FootnoteReference"/>
          <w:rFonts w:cs="Arial"/>
          <w:sz w:val="24"/>
          <w:szCs w:val="24"/>
        </w:rPr>
        <w:footnoteReference w:id="23"/>
      </w:r>
      <w:r w:rsidRPr="002A111A">
        <w:rPr>
          <w:rFonts w:cs="Arial"/>
          <w:szCs w:val="24"/>
        </w:rPr>
        <w:t xml:space="preserve"> </w:t>
      </w:r>
      <w:r w:rsidR="00D9750C" w:rsidRPr="002A111A">
        <w:rPr>
          <w:rFonts w:cs="Arial"/>
          <w:szCs w:val="24"/>
        </w:rPr>
        <w:t xml:space="preserve">In 2011, </w:t>
      </w:r>
      <w:r w:rsidR="005456BF" w:rsidRPr="002A111A">
        <w:rPr>
          <w:rFonts w:cs="Arial"/>
          <w:szCs w:val="24"/>
        </w:rPr>
        <w:t>the UN Committee on the Rights of Persons with Disabilities expressed their concern at the lack of resources and services to guarantee the right to live independently and be included in the community</w:t>
      </w:r>
      <w:r w:rsidR="00111156" w:rsidRPr="002A111A">
        <w:rPr>
          <w:rFonts w:cs="Arial"/>
          <w:szCs w:val="24"/>
        </w:rPr>
        <w:t>.</w:t>
      </w:r>
      <w:r w:rsidR="005456BF" w:rsidRPr="002A111A">
        <w:rPr>
          <w:rStyle w:val="FootnoteReference"/>
          <w:rFonts w:cs="Arial"/>
          <w:sz w:val="24"/>
          <w:szCs w:val="24"/>
        </w:rPr>
        <w:footnoteReference w:id="24"/>
      </w:r>
    </w:p>
    <w:p w14:paraId="61C3BD1C" w14:textId="77777777" w:rsidR="00A00966" w:rsidRPr="002A111A" w:rsidRDefault="00A00966" w:rsidP="00B446F1">
      <w:pPr>
        <w:ind w:firstLine="720"/>
        <w:rPr>
          <w:rFonts w:cs="Arial"/>
          <w:szCs w:val="24"/>
        </w:rPr>
      </w:pPr>
    </w:p>
    <w:p w14:paraId="7B7A890D" w14:textId="44F16DC4" w:rsidR="008E4ACD" w:rsidRPr="002A111A" w:rsidRDefault="007B7097" w:rsidP="00111156">
      <w:pPr>
        <w:rPr>
          <w:rFonts w:cs="Arial"/>
          <w:szCs w:val="24"/>
        </w:rPr>
      </w:pPr>
      <w:r w:rsidRPr="002A111A">
        <w:rPr>
          <w:rFonts w:cs="Arial"/>
          <w:szCs w:val="24"/>
        </w:rPr>
        <w:lastRenderedPageBreak/>
        <w:t>This is still true in Spain</w:t>
      </w:r>
      <w:r w:rsidR="00734DE1" w:rsidRPr="002A111A">
        <w:rPr>
          <w:rFonts w:cs="Arial"/>
          <w:szCs w:val="24"/>
        </w:rPr>
        <w:t xml:space="preserve">. </w:t>
      </w:r>
      <w:r w:rsidR="00734DE1" w:rsidRPr="002A111A">
        <w:rPr>
          <w:rFonts w:cs="Arial"/>
          <w:color w:val="000000"/>
          <w:szCs w:val="24"/>
        </w:rPr>
        <w:t xml:space="preserve">The CERMI (Spanish Committee of Representatives of People with Disabilities) published its annual report </w:t>
      </w:r>
      <w:r w:rsidR="009F092A" w:rsidRPr="002A111A">
        <w:rPr>
          <w:rFonts w:cs="Arial"/>
          <w:color w:val="000000"/>
          <w:szCs w:val="24"/>
        </w:rPr>
        <w:t xml:space="preserve">in April 2017 </w:t>
      </w:r>
      <w:r w:rsidR="00734DE1" w:rsidRPr="002A111A">
        <w:rPr>
          <w:rFonts w:cs="Arial"/>
          <w:color w:val="000000"/>
          <w:szCs w:val="24"/>
        </w:rPr>
        <w:t>on the compliance of our country with the UN Convention on the rights of persons with disabilities during 2016</w:t>
      </w:r>
      <w:r w:rsidR="00111156" w:rsidRPr="002A111A">
        <w:rPr>
          <w:rFonts w:cs="Arial"/>
          <w:color w:val="000000"/>
          <w:szCs w:val="24"/>
        </w:rPr>
        <w:t>.</w:t>
      </w:r>
      <w:r w:rsidR="000D639B" w:rsidRPr="002A111A">
        <w:rPr>
          <w:rStyle w:val="FootnoteReference"/>
          <w:rFonts w:cs="Arial"/>
          <w:color w:val="000000"/>
          <w:sz w:val="24"/>
          <w:szCs w:val="24"/>
        </w:rPr>
        <w:footnoteReference w:id="25"/>
      </w:r>
      <w:r w:rsidR="00734DE1" w:rsidRPr="002A111A">
        <w:rPr>
          <w:rFonts w:cs="Arial"/>
          <w:color w:val="000000"/>
          <w:szCs w:val="24"/>
        </w:rPr>
        <w:t xml:space="preserve"> </w:t>
      </w:r>
      <w:r w:rsidR="009F092A" w:rsidRPr="002A111A">
        <w:rPr>
          <w:rFonts w:cs="Arial"/>
          <w:color w:val="000000"/>
          <w:szCs w:val="24"/>
        </w:rPr>
        <w:t>Here</w:t>
      </w:r>
      <w:r w:rsidR="00734DE1" w:rsidRPr="002A111A">
        <w:rPr>
          <w:rFonts w:cs="Arial"/>
          <w:color w:val="000000"/>
          <w:szCs w:val="24"/>
        </w:rPr>
        <w:t>, CERMI argues that in relation to Article 19: Right to live independently and to be included in the community, the lack of resources and services is worrisome, particularly in rural areas where placement in residential facilities is the only possibility. On the other hand, there is concern about the restriction of the scope of aid for personal autonomy both in relation to people with disabilities who are eligible, as well as in the field of activity for which personal assistance can be utilized (only education and work)</w:t>
      </w:r>
      <w:r w:rsidR="00111156" w:rsidRPr="002A111A">
        <w:rPr>
          <w:rFonts w:cs="Arial"/>
          <w:color w:val="000000"/>
          <w:szCs w:val="24"/>
        </w:rPr>
        <w:t>.</w:t>
      </w:r>
      <w:r w:rsidR="000D639B" w:rsidRPr="002A111A">
        <w:rPr>
          <w:rStyle w:val="FootnoteReference"/>
          <w:rFonts w:cs="Arial"/>
          <w:color w:val="000000"/>
          <w:sz w:val="24"/>
          <w:szCs w:val="24"/>
        </w:rPr>
        <w:footnoteReference w:id="26"/>
      </w:r>
    </w:p>
    <w:p w14:paraId="26E8B9BA" w14:textId="77777777" w:rsidR="00ED6A9A" w:rsidRPr="002A111A" w:rsidRDefault="00ED6A9A" w:rsidP="00B446F1">
      <w:pPr>
        <w:rPr>
          <w:rFonts w:cs="Arial"/>
          <w:szCs w:val="24"/>
        </w:rPr>
      </w:pPr>
    </w:p>
    <w:p w14:paraId="4929CDBE" w14:textId="0B082FC6" w:rsidR="008E4ACD" w:rsidRPr="002A111A" w:rsidRDefault="008E4ACD" w:rsidP="00B446F1">
      <w:pPr>
        <w:pStyle w:val="Heading2"/>
        <w:rPr>
          <w:rFonts w:cs="Arial"/>
          <w:szCs w:val="24"/>
        </w:rPr>
      </w:pPr>
      <w:bookmarkStart w:id="10" w:name="_Toc529874058"/>
      <w:bookmarkStart w:id="11" w:name="_Toc7609259"/>
      <w:r w:rsidRPr="002A111A">
        <w:rPr>
          <w:rFonts w:cs="Arial"/>
          <w:szCs w:val="24"/>
        </w:rPr>
        <w:t xml:space="preserve">Overall spending on institutional care versus </w:t>
      </w:r>
      <w:r w:rsidR="00A76625" w:rsidRPr="002A111A">
        <w:rPr>
          <w:rFonts w:cs="Arial"/>
          <w:szCs w:val="24"/>
        </w:rPr>
        <w:t xml:space="preserve">services for support </w:t>
      </w:r>
      <w:r w:rsidR="009B0AEB" w:rsidRPr="002A111A">
        <w:rPr>
          <w:rFonts w:cs="Arial"/>
          <w:szCs w:val="24"/>
        </w:rPr>
        <w:t>for living independently and being included in the community</w:t>
      </w:r>
      <w:r w:rsidR="00FA5813" w:rsidRPr="002A111A">
        <w:rPr>
          <w:rFonts w:cs="Arial"/>
          <w:szCs w:val="24"/>
        </w:rPr>
        <w:t>, including information about proportion/amount of funding provided from EU funds</w:t>
      </w:r>
      <w:bookmarkEnd w:id="10"/>
      <w:bookmarkEnd w:id="11"/>
    </w:p>
    <w:p w14:paraId="63C6BC33" w14:textId="77777777" w:rsidR="00622FC0" w:rsidRPr="002A111A" w:rsidRDefault="00622FC0" w:rsidP="00B446F1">
      <w:pPr>
        <w:rPr>
          <w:rFonts w:cs="Arial"/>
          <w:szCs w:val="24"/>
        </w:rPr>
      </w:pPr>
    </w:p>
    <w:p w14:paraId="5A2EE9FC" w14:textId="386377B9" w:rsidR="008E4ACD" w:rsidRPr="002A111A" w:rsidRDefault="008E4ACD" w:rsidP="00B446F1">
      <w:pPr>
        <w:pStyle w:val="Heading3"/>
        <w:rPr>
          <w:rFonts w:cs="Arial"/>
          <w:b/>
          <w:szCs w:val="24"/>
        </w:rPr>
      </w:pPr>
      <w:r w:rsidRPr="002A111A">
        <w:rPr>
          <w:rFonts w:cs="Arial"/>
          <w:szCs w:val="24"/>
        </w:rPr>
        <w:t>Current figures</w:t>
      </w:r>
    </w:p>
    <w:p w14:paraId="308D357D" w14:textId="77777777" w:rsidR="00DF3C6C" w:rsidRPr="002A111A" w:rsidRDefault="00DF3C6C" w:rsidP="00B446F1">
      <w:pPr>
        <w:rPr>
          <w:rFonts w:cs="Arial"/>
          <w:szCs w:val="24"/>
        </w:rPr>
      </w:pPr>
    </w:p>
    <w:p w14:paraId="18EFDB4D" w14:textId="1C454BB9" w:rsidR="007A2995" w:rsidRPr="002A111A" w:rsidRDefault="007A2995" w:rsidP="00B446F1">
      <w:pPr>
        <w:rPr>
          <w:rFonts w:cs="Arial"/>
          <w:szCs w:val="24"/>
        </w:rPr>
      </w:pPr>
      <w:r w:rsidRPr="002A111A">
        <w:rPr>
          <w:rFonts w:cs="Arial"/>
          <w:szCs w:val="24"/>
        </w:rPr>
        <w:t>The right to choose where and with whom to live requires physical conditions of the ho</w:t>
      </w:r>
      <w:r w:rsidR="00DF3C6C" w:rsidRPr="002A111A">
        <w:rPr>
          <w:rFonts w:cs="Arial"/>
          <w:szCs w:val="24"/>
        </w:rPr>
        <w:t xml:space="preserve">mes that make it possible. Most people in Spain </w:t>
      </w:r>
      <w:r w:rsidRPr="002A111A">
        <w:rPr>
          <w:rFonts w:cs="Arial"/>
          <w:szCs w:val="24"/>
        </w:rPr>
        <w:t xml:space="preserve">live in multi-unit housing or apartment buildings, and there are several laws applicable to these living arrangements, both public and private properties. The owner or the landlord is responsible for meeting the requirements for an accessible building. There is funding support available for different adaptations and removal of barriers that can be requested by disabled people to adapt their houses, or by a </w:t>
      </w:r>
      <w:r w:rsidR="00111156" w:rsidRPr="002A111A">
        <w:rPr>
          <w:rFonts w:cs="Arial"/>
          <w:szCs w:val="24"/>
        </w:rPr>
        <w:t>c</w:t>
      </w:r>
      <w:r w:rsidRPr="002A111A">
        <w:rPr>
          <w:rFonts w:cs="Arial"/>
          <w:szCs w:val="24"/>
        </w:rPr>
        <w:t>ommunity of owners if additional adaptations (e.g. elevators, ramps, etc.) are required</w:t>
      </w:r>
      <w:r w:rsidR="00111156" w:rsidRPr="002A111A">
        <w:rPr>
          <w:rFonts w:cs="Arial"/>
          <w:szCs w:val="24"/>
        </w:rPr>
        <w:t>.</w:t>
      </w:r>
      <w:r w:rsidRPr="002A111A">
        <w:rPr>
          <w:rStyle w:val="FootnoteReference"/>
          <w:rFonts w:cs="Arial"/>
          <w:sz w:val="24"/>
          <w:szCs w:val="24"/>
        </w:rPr>
        <w:footnoteReference w:id="27"/>
      </w:r>
      <w:r w:rsidRPr="002A111A">
        <w:rPr>
          <w:rFonts w:cs="Arial"/>
          <w:szCs w:val="24"/>
        </w:rPr>
        <w:t xml:space="preserve"> </w:t>
      </w:r>
    </w:p>
    <w:p w14:paraId="79279B58" w14:textId="77777777" w:rsidR="00111156" w:rsidRPr="002A111A" w:rsidRDefault="00111156" w:rsidP="00B446F1">
      <w:pPr>
        <w:rPr>
          <w:rFonts w:cs="Arial"/>
          <w:szCs w:val="24"/>
        </w:rPr>
      </w:pPr>
    </w:p>
    <w:p w14:paraId="00889B32" w14:textId="3857EEAA" w:rsidR="008A205B" w:rsidRPr="002A111A" w:rsidRDefault="007A2995" w:rsidP="00B446F1">
      <w:pPr>
        <w:rPr>
          <w:rFonts w:cs="Arial"/>
          <w:szCs w:val="24"/>
        </w:rPr>
      </w:pPr>
      <w:r w:rsidRPr="002A111A">
        <w:rPr>
          <w:rFonts w:cs="Arial"/>
          <w:szCs w:val="24"/>
        </w:rPr>
        <w:t>Concerning money invested, w</w:t>
      </w:r>
      <w:r w:rsidR="00DC3B72" w:rsidRPr="002A111A">
        <w:rPr>
          <w:rFonts w:cs="Arial"/>
          <w:szCs w:val="24"/>
        </w:rPr>
        <w:t xml:space="preserve">e do not have </w:t>
      </w:r>
      <w:r w:rsidR="005F36CD" w:rsidRPr="002A111A">
        <w:rPr>
          <w:rFonts w:cs="Arial"/>
          <w:szCs w:val="24"/>
        </w:rPr>
        <w:t>specific</w:t>
      </w:r>
      <w:r w:rsidR="00DC3B72" w:rsidRPr="002A111A">
        <w:rPr>
          <w:rFonts w:cs="Arial"/>
          <w:szCs w:val="24"/>
        </w:rPr>
        <w:t xml:space="preserve"> information</w:t>
      </w:r>
      <w:r w:rsidR="007C36D8" w:rsidRPr="002A111A">
        <w:rPr>
          <w:rFonts w:cs="Arial"/>
          <w:szCs w:val="24"/>
        </w:rPr>
        <w:t>, because, as mentioned earlier, Spain has a very complex and disperse system of services and support</w:t>
      </w:r>
      <w:r w:rsidR="007A0C40" w:rsidRPr="002A111A">
        <w:rPr>
          <w:rFonts w:cs="Arial"/>
          <w:szCs w:val="24"/>
        </w:rPr>
        <w:t>, and data are no</w:t>
      </w:r>
      <w:r w:rsidR="009F092A" w:rsidRPr="002A111A">
        <w:rPr>
          <w:rFonts w:cs="Arial"/>
          <w:szCs w:val="24"/>
        </w:rPr>
        <w:t>t</w:t>
      </w:r>
      <w:r w:rsidR="007A0C40" w:rsidRPr="002A111A">
        <w:rPr>
          <w:rFonts w:cs="Arial"/>
          <w:szCs w:val="24"/>
        </w:rPr>
        <w:t xml:space="preserve"> </w:t>
      </w:r>
      <w:r w:rsidR="009F092A" w:rsidRPr="002A111A">
        <w:rPr>
          <w:rFonts w:cs="Arial"/>
          <w:szCs w:val="24"/>
        </w:rPr>
        <w:t>disaggregated</w:t>
      </w:r>
      <w:r w:rsidR="00111156" w:rsidRPr="002A111A">
        <w:rPr>
          <w:rFonts w:cs="Arial"/>
          <w:szCs w:val="24"/>
        </w:rPr>
        <w:t>.</w:t>
      </w:r>
      <w:r w:rsidR="007A0C40" w:rsidRPr="002A111A">
        <w:rPr>
          <w:rStyle w:val="FootnoteReference"/>
          <w:rFonts w:cs="Arial"/>
          <w:sz w:val="24"/>
          <w:szCs w:val="24"/>
        </w:rPr>
        <w:footnoteReference w:id="28"/>
      </w:r>
      <w:r w:rsidR="00111156" w:rsidRPr="002A111A">
        <w:rPr>
          <w:rFonts w:cs="Arial"/>
          <w:szCs w:val="24"/>
        </w:rPr>
        <w:t xml:space="preserve"> </w:t>
      </w:r>
      <w:r w:rsidRPr="002A111A">
        <w:rPr>
          <w:rFonts w:cs="Arial"/>
          <w:szCs w:val="24"/>
        </w:rPr>
        <w:t>There is money available at national and regional level to make housing accessible</w:t>
      </w:r>
      <w:r w:rsidR="00DF3C6C" w:rsidRPr="002A111A">
        <w:rPr>
          <w:rFonts w:cs="Arial"/>
          <w:szCs w:val="24"/>
        </w:rPr>
        <w:t xml:space="preserve">. </w:t>
      </w:r>
    </w:p>
    <w:p w14:paraId="3A70C08D" w14:textId="77777777" w:rsidR="00DF3C6C" w:rsidRPr="002A111A" w:rsidRDefault="00DF3C6C" w:rsidP="00B446F1">
      <w:pPr>
        <w:rPr>
          <w:rFonts w:cs="Arial"/>
          <w:szCs w:val="24"/>
        </w:rPr>
      </w:pPr>
    </w:p>
    <w:p w14:paraId="54D3533E" w14:textId="60AA2681" w:rsidR="008E4ACD" w:rsidRPr="002A111A" w:rsidRDefault="008A205B" w:rsidP="00B446F1">
      <w:pPr>
        <w:rPr>
          <w:rFonts w:cs="Arial"/>
          <w:szCs w:val="24"/>
        </w:rPr>
      </w:pPr>
      <w:r w:rsidRPr="002A111A">
        <w:rPr>
          <w:rFonts w:cs="Arial"/>
          <w:szCs w:val="24"/>
        </w:rPr>
        <w:t xml:space="preserve">Spain is a decentralized country. There are </w:t>
      </w:r>
      <w:r w:rsidR="00111156" w:rsidRPr="002A111A">
        <w:rPr>
          <w:rFonts w:cs="Arial"/>
          <w:szCs w:val="24"/>
        </w:rPr>
        <w:t>17</w:t>
      </w:r>
      <w:r w:rsidRPr="002A111A">
        <w:rPr>
          <w:rFonts w:cs="Arial"/>
          <w:szCs w:val="24"/>
        </w:rPr>
        <w:t xml:space="preserve"> Autonomous Communities (CCAA). The Autonomous Communities have exercised their competences in social assistance in very unequal and uncoordinated ways. That means that, in Spain, there are </w:t>
      </w:r>
      <w:r w:rsidR="00111156" w:rsidRPr="002A111A">
        <w:rPr>
          <w:rFonts w:cs="Arial"/>
          <w:szCs w:val="24"/>
        </w:rPr>
        <w:t>18</w:t>
      </w:r>
      <w:r w:rsidRPr="002A111A">
        <w:rPr>
          <w:rFonts w:cs="Arial"/>
          <w:szCs w:val="24"/>
        </w:rPr>
        <w:t xml:space="preserve"> systems for social services (</w:t>
      </w:r>
      <w:r w:rsidR="00111156" w:rsidRPr="002A111A">
        <w:rPr>
          <w:rFonts w:cs="Arial"/>
          <w:szCs w:val="24"/>
        </w:rPr>
        <w:t>17</w:t>
      </w:r>
      <w:r w:rsidRPr="002A111A">
        <w:rPr>
          <w:rFonts w:cs="Arial"/>
          <w:szCs w:val="24"/>
        </w:rPr>
        <w:t xml:space="preserve"> run by the CCAA and an additional one run by the Ministry of Health, Social Services and Equality (MHSSE) (</w:t>
      </w:r>
      <w:proofErr w:type="spellStart"/>
      <w:r w:rsidRPr="002A111A">
        <w:rPr>
          <w:rFonts w:cs="Arial"/>
          <w:i/>
          <w:szCs w:val="24"/>
        </w:rPr>
        <w:t>Ministerio</w:t>
      </w:r>
      <w:proofErr w:type="spellEnd"/>
      <w:r w:rsidRPr="002A111A">
        <w:rPr>
          <w:rFonts w:cs="Arial"/>
          <w:i/>
          <w:szCs w:val="24"/>
        </w:rPr>
        <w:t xml:space="preserve"> de Sanidad, </w:t>
      </w:r>
      <w:proofErr w:type="spellStart"/>
      <w:r w:rsidRPr="002A111A">
        <w:rPr>
          <w:rFonts w:cs="Arial"/>
          <w:i/>
          <w:szCs w:val="24"/>
        </w:rPr>
        <w:t>Servicios</w:t>
      </w:r>
      <w:proofErr w:type="spellEnd"/>
      <w:r w:rsidRPr="002A111A">
        <w:rPr>
          <w:rFonts w:cs="Arial"/>
          <w:i/>
          <w:szCs w:val="24"/>
        </w:rPr>
        <w:t xml:space="preserve"> Sociales e </w:t>
      </w:r>
      <w:proofErr w:type="spellStart"/>
      <w:r w:rsidRPr="002A111A">
        <w:rPr>
          <w:rFonts w:cs="Arial"/>
          <w:i/>
          <w:szCs w:val="24"/>
        </w:rPr>
        <w:t>Igualdad</w:t>
      </w:r>
      <w:proofErr w:type="spellEnd"/>
      <w:r w:rsidRPr="002A111A">
        <w:rPr>
          <w:rFonts w:cs="Arial"/>
          <w:i/>
          <w:szCs w:val="24"/>
        </w:rPr>
        <w:t>, MSSSI</w:t>
      </w:r>
      <w:r w:rsidRPr="002A111A">
        <w:rPr>
          <w:rFonts w:cs="Arial"/>
          <w:szCs w:val="24"/>
        </w:rPr>
        <w:t xml:space="preserve">) for the Autonomous Cities of Ceuta and Melilla. The CCAA Social Services are financed by the CCAA (although there might be contributions of the users). In addition, there is the Social Security which covers health services and cash payments for retirement, unemployment, disability, under certain </w:t>
      </w:r>
      <w:r w:rsidRPr="002A111A">
        <w:rPr>
          <w:rFonts w:cs="Arial"/>
          <w:szCs w:val="24"/>
        </w:rPr>
        <w:lastRenderedPageBreak/>
        <w:t>conditions, and certain family situations. Social Security has the same rules in all the Spanish territory. The Social Security is financed by the national administration (although there are contributions of working citizens and their employers).</w:t>
      </w:r>
      <w:r w:rsidR="00661539" w:rsidRPr="002A111A">
        <w:rPr>
          <w:rFonts w:cs="Arial"/>
          <w:szCs w:val="24"/>
        </w:rPr>
        <w:t xml:space="preserve"> </w:t>
      </w:r>
      <w:r w:rsidRPr="002A111A">
        <w:rPr>
          <w:rFonts w:cs="Arial"/>
          <w:szCs w:val="24"/>
        </w:rPr>
        <w:t>Finally, there is the System for the Autonomy and the Attention to Dependency (SAAD) created in 2007. The SAAD was originally intended to cover dependency situations of people 80 years old or more. Later, people with disabilities of all ages were covered, but the SAAD framework has not the spirit of the UN Convention on the Rights of Persons with Disabilities, although it was designed in parallel to the Convention. The SAAD could have been included in the Social Security, but it was decided by the Government first, and the Parliament later, not to do so. Therefore, it is a universal system but managed by a Territorial Board in which there are representatives of both the national administration and the CCAA. The town halls also have certain competences when they are big enough. There are national, regional and local level laws. The result is extremely complex. The SAAD is financed by both the national administration and the CCAA. The SAAD services and cash payments are integrated in the CCAA social services and users pay part of the cost whether for all or for some of the services, in an amount that is different in each Autonomous Community, sometimes reaching more than 90</w:t>
      </w:r>
      <w:r w:rsidR="00661539" w:rsidRPr="002A111A">
        <w:rPr>
          <w:rFonts w:cs="Arial"/>
          <w:szCs w:val="24"/>
        </w:rPr>
        <w:t xml:space="preserve"> </w:t>
      </w:r>
      <w:r w:rsidRPr="002A111A">
        <w:rPr>
          <w:rFonts w:cs="Arial"/>
          <w:szCs w:val="24"/>
        </w:rPr>
        <w:t>% of the cost.</w:t>
      </w:r>
      <w:r w:rsidR="00661539" w:rsidRPr="002A111A">
        <w:rPr>
          <w:rFonts w:cs="Arial"/>
          <w:szCs w:val="24"/>
        </w:rPr>
        <w:t xml:space="preserve"> </w:t>
      </w:r>
      <w:r w:rsidRPr="002A111A">
        <w:rPr>
          <w:rFonts w:cs="Arial"/>
          <w:szCs w:val="24"/>
        </w:rPr>
        <w:t>Therefore, it is impossible to give a complete and accurate picture of the Spanish situation</w:t>
      </w:r>
      <w:r w:rsidR="00DF3C6C" w:rsidRPr="002A111A">
        <w:rPr>
          <w:rFonts w:cs="Arial"/>
          <w:szCs w:val="24"/>
        </w:rPr>
        <w:t xml:space="preserve">. </w:t>
      </w:r>
    </w:p>
    <w:p w14:paraId="4A2D648A" w14:textId="77777777" w:rsidR="006E7253" w:rsidRPr="002A111A" w:rsidRDefault="006E7253" w:rsidP="00661539">
      <w:pPr>
        <w:rPr>
          <w:rFonts w:cs="Arial"/>
          <w:szCs w:val="24"/>
        </w:rPr>
      </w:pPr>
    </w:p>
    <w:p w14:paraId="4A76D501" w14:textId="513A62D9" w:rsidR="008E4ACD" w:rsidRPr="002A111A" w:rsidRDefault="008E4ACD" w:rsidP="00B446F1">
      <w:pPr>
        <w:pStyle w:val="Heading3"/>
        <w:rPr>
          <w:rFonts w:cs="Arial"/>
          <w:b/>
          <w:szCs w:val="24"/>
        </w:rPr>
      </w:pPr>
      <w:r w:rsidRPr="002A111A">
        <w:rPr>
          <w:rFonts w:cs="Arial"/>
          <w:szCs w:val="24"/>
        </w:rPr>
        <w:t>Trend since 2013</w:t>
      </w:r>
    </w:p>
    <w:p w14:paraId="667A1D19" w14:textId="77777777" w:rsidR="00661539" w:rsidRPr="002A111A" w:rsidRDefault="00661539" w:rsidP="00661539">
      <w:pPr>
        <w:rPr>
          <w:rFonts w:cs="Arial"/>
          <w:szCs w:val="24"/>
        </w:rPr>
      </w:pPr>
    </w:p>
    <w:p w14:paraId="4BD65D28" w14:textId="7C357A5B" w:rsidR="008E4ACD" w:rsidRPr="002A111A" w:rsidRDefault="00DC3B72" w:rsidP="00661539">
      <w:pPr>
        <w:rPr>
          <w:rFonts w:cs="Arial"/>
          <w:szCs w:val="24"/>
        </w:rPr>
      </w:pPr>
      <w:r w:rsidRPr="002A111A">
        <w:rPr>
          <w:rFonts w:cs="Arial"/>
          <w:szCs w:val="24"/>
        </w:rPr>
        <w:t>This information is not available</w:t>
      </w:r>
      <w:r w:rsidR="00661539" w:rsidRPr="002A111A">
        <w:rPr>
          <w:rFonts w:cs="Arial"/>
          <w:szCs w:val="24"/>
        </w:rPr>
        <w:t>.</w:t>
      </w:r>
    </w:p>
    <w:p w14:paraId="79C0A08B" w14:textId="77777777" w:rsidR="008E4ACD" w:rsidRPr="002A111A" w:rsidRDefault="008E4ACD" w:rsidP="00661539"/>
    <w:p w14:paraId="6DDBEC9B" w14:textId="77777777" w:rsidR="008E4ACD" w:rsidRPr="002A111A" w:rsidRDefault="00ED6A9A" w:rsidP="00B446F1">
      <w:pPr>
        <w:pStyle w:val="Heading1"/>
        <w:rPr>
          <w:rFonts w:cs="Arial"/>
          <w:szCs w:val="24"/>
        </w:rPr>
      </w:pPr>
      <w:bookmarkStart w:id="12" w:name="_Toc529874059"/>
      <w:bookmarkStart w:id="13" w:name="_Toc7609260"/>
      <w:r w:rsidRPr="002A111A">
        <w:rPr>
          <w:rFonts w:cs="Arial"/>
          <w:szCs w:val="24"/>
        </w:rPr>
        <w:t xml:space="preserve">Government </w:t>
      </w:r>
      <w:r w:rsidR="00AB2CB2" w:rsidRPr="002A111A">
        <w:rPr>
          <w:rFonts w:cs="Arial"/>
          <w:szCs w:val="24"/>
        </w:rPr>
        <w:t>c</w:t>
      </w:r>
      <w:r w:rsidR="008E4ACD" w:rsidRPr="002A111A">
        <w:rPr>
          <w:rFonts w:cs="Arial"/>
          <w:szCs w:val="24"/>
        </w:rPr>
        <w:t xml:space="preserve">ommitments on </w:t>
      </w:r>
      <w:r w:rsidR="009B0AEB" w:rsidRPr="002A111A">
        <w:rPr>
          <w:rFonts w:cs="Arial"/>
          <w:szCs w:val="24"/>
        </w:rPr>
        <w:t xml:space="preserve">living independently and being included in the community including </w:t>
      </w:r>
      <w:r w:rsidR="008E4ACD" w:rsidRPr="002A111A">
        <w:rPr>
          <w:rFonts w:cs="Arial"/>
          <w:szCs w:val="24"/>
        </w:rPr>
        <w:t xml:space="preserve">the transition from institutional care to </w:t>
      </w:r>
      <w:r w:rsidR="00A75929" w:rsidRPr="002A111A">
        <w:rPr>
          <w:rFonts w:cs="Arial"/>
          <w:szCs w:val="24"/>
        </w:rPr>
        <w:t>community-based</w:t>
      </w:r>
      <w:r w:rsidR="008E4ACD" w:rsidRPr="002A111A">
        <w:rPr>
          <w:rFonts w:cs="Arial"/>
          <w:szCs w:val="24"/>
        </w:rPr>
        <w:t xml:space="preserve"> living</w:t>
      </w:r>
      <w:bookmarkEnd w:id="12"/>
      <w:bookmarkEnd w:id="13"/>
      <w:r w:rsidR="008E4ACD" w:rsidRPr="002A111A">
        <w:rPr>
          <w:rFonts w:cs="Arial"/>
          <w:szCs w:val="24"/>
        </w:rPr>
        <w:t xml:space="preserve"> </w:t>
      </w:r>
    </w:p>
    <w:p w14:paraId="2910D6BE" w14:textId="77777777" w:rsidR="00744850" w:rsidRPr="002A111A" w:rsidRDefault="00744850" w:rsidP="00B446F1">
      <w:pPr>
        <w:rPr>
          <w:rFonts w:cs="Arial"/>
          <w:szCs w:val="24"/>
          <w:lang w:bidi="en-US"/>
        </w:rPr>
      </w:pPr>
    </w:p>
    <w:p w14:paraId="060B082D" w14:textId="77777777" w:rsidR="008E4ACD" w:rsidRPr="002A111A" w:rsidRDefault="008E4ACD" w:rsidP="00B446F1">
      <w:pPr>
        <w:pStyle w:val="Heading2"/>
        <w:rPr>
          <w:rFonts w:cs="Arial"/>
          <w:szCs w:val="24"/>
        </w:rPr>
      </w:pPr>
      <w:bookmarkStart w:id="14" w:name="_Toc529874060"/>
      <w:bookmarkStart w:id="15" w:name="_Toc7609261"/>
      <w:r w:rsidRPr="002A111A">
        <w:rPr>
          <w:rFonts w:cs="Arial"/>
          <w:szCs w:val="24"/>
        </w:rPr>
        <w:t xml:space="preserve">In which document(s) are </w:t>
      </w:r>
      <w:r w:rsidR="00ED6A9A" w:rsidRPr="002A111A">
        <w:rPr>
          <w:rFonts w:cs="Arial"/>
          <w:szCs w:val="24"/>
        </w:rPr>
        <w:t xml:space="preserve">government </w:t>
      </w:r>
      <w:r w:rsidRPr="002A111A">
        <w:rPr>
          <w:rFonts w:cs="Arial"/>
          <w:szCs w:val="24"/>
        </w:rPr>
        <w:t xml:space="preserve">commitments and plans concerning </w:t>
      </w:r>
      <w:r w:rsidR="002A75B1" w:rsidRPr="002A111A">
        <w:rPr>
          <w:rFonts w:cs="Arial"/>
          <w:szCs w:val="24"/>
        </w:rPr>
        <w:t>support for independent living in the community</w:t>
      </w:r>
      <w:r w:rsidR="0041392D" w:rsidRPr="002A111A">
        <w:rPr>
          <w:rFonts w:cs="Arial"/>
          <w:szCs w:val="24"/>
        </w:rPr>
        <w:t xml:space="preserve"> set out</w:t>
      </w:r>
      <w:r w:rsidR="000356A9" w:rsidRPr="002A111A">
        <w:rPr>
          <w:rFonts w:cs="Arial"/>
          <w:szCs w:val="24"/>
        </w:rPr>
        <w:t>?</w:t>
      </w:r>
      <w:bookmarkEnd w:id="14"/>
      <w:bookmarkEnd w:id="15"/>
    </w:p>
    <w:p w14:paraId="48F46B78" w14:textId="33D251A7" w:rsidR="000258A0" w:rsidRPr="002A111A" w:rsidRDefault="000258A0" w:rsidP="00B446F1">
      <w:pPr>
        <w:ind w:left="567"/>
        <w:rPr>
          <w:rFonts w:cs="Arial"/>
          <w:szCs w:val="24"/>
        </w:rPr>
      </w:pPr>
    </w:p>
    <w:p w14:paraId="6B3374E1" w14:textId="66D9A2B7" w:rsidR="00C65CEB" w:rsidRPr="002A111A" w:rsidRDefault="00C65CEB" w:rsidP="00B446F1">
      <w:pPr>
        <w:rPr>
          <w:rFonts w:cs="Arial"/>
          <w:szCs w:val="24"/>
        </w:rPr>
      </w:pPr>
      <w:r w:rsidRPr="002A111A">
        <w:rPr>
          <w:rFonts w:cs="Arial"/>
          <w:szCs w:val="24"/>
        </w:rPr>
        <w:t>In Spain, segregated residential options continue to be the main option for people with the most severe intellectual disabilities, and public administration organi</w:t>
      </w:r>
      <w:r w:rsidR="00EE2C62">
        <w:rPr>
          <w:rFonts w:cs="Arial"/>
          <w:szCs w:val="24"/>
        </w:rPr>
        <w:t>s</w:t>
      </w:r>
      <w:r w:rsidRPr="002A111A">
        <w:rPr>
          <w:rFonts w:cs="Arial"/>
          <w:szCs w:val="24"/>
        </w:rPr>
        <w:t xml:space="preserve">ations spend most resources on these. However, there are choices for disabled people to live independently in their own homes and in the community, resulting from the passing of the Law 39/2006, of 14 December on Promotion of Personal Autonomy and Care for Dependent Persons, and the Law 51/2003 of </w:t>
      </w:r>
      <w:r w:rsidR="00044C2F" w:rsidRPr="002A111A">
        <w:rPr>
          <w:rFonts w:cs="Arial"/>
          <w:szCs w:val="24"/>
        </w:rPr>
        <w:t>0</w:t>
      </w:r>
      <w:r w:rsidRPr="002A111A">
        <w:rPr>
          <w:rFonts w:cs="Arial"/>
          <w:szCs w:val="24"/>
        </w:rPr>
        <w:t xml:space="preserve">2 December 2003 on equal opportunities, non-discrimination, and universal accessibility for persons with disabilities. However, there are no structured policies promoting independent living that follow the UN Convention on the Rights of Persons with Disabilities; only some groups of people with disabilities and some disability associations are playing a role in promoting independent living. </w:t>
      </w:r>
    </w:p>
    <w:p w14:paraId="3017DD97" w14:textId="77777777" w:rsidR="00C65CEB" w:rsidRPr="002A111A" w:rsidRDefault="00C65CEB" w:rsidP="00B446F1">
      <w:pPr>
        <w:rPr>
          <w:rFonts w:cs="Arial"/>
          <w:szCs w:val="24"/>
        </w:rPr>
      </w:pPr>
    </w:p>
    <w:p w14:paraId="1E9CBB74" w14:textId="6C1C5E81" w:rsidR="00C65CEB" w:rsidRPr="002A111A" w:rsidRDefault="00C65CEB" w:rsidP="00B446F1">
      <w:pPr>
        <w:rPr>
          <w:rFonts w:cs="Arial"/>
          <w:szCs w:val="24"/>
        </w:rPr>
      </w:pPr>
      <w:r w:rsidRPr="002A111A">
        <w:rPr>
          <w:rFonts w:cs="Arial"/>
          <w:szCs w:val="24"/>
        </w:rPr>
        <w:t xml:space="preserve">In addition, there are important differences among Autonomous Communities in applying new Acts and in developing new regulations to facilitate independent living. Law 39/2006 could be considered a significant new proposal for future policies to support people living in the community rather than in institutions as it regulates the basic conditions that should guarantee equality in the promotion of personal autonomy and care for dependent persons, by creating a System for Autonomy and Care for Dependency (SAAD). With the SAAD, all elderly or disabled people who cannot fend </w:t>
      </w:r>
      <w:r w:rsidRPr="002A111A">
        <w:rPr>
          <w:rFonts w:cs="Arial"/>
          <w:szCs w:val="24"/>
        </w:rPr>
        <w:lastRenderedPageBreak/>
        <w:t>for themselves will be attended to by government, by ensuring access to public social services and economic performance more suited to their needs. People with mental health conditions may be deprived of their liberty and made to stay in an institution for which a legal decision is needed</w:t>
      </w:r>
      <w:r w:rsidR="00661539" w:rsidRPr="002A111A">
        <w:rPr>
          <w:rFonts w:cs="Arial"/>
          <w:szCs w:val="24"/>
        </w:rPr>
        <w:t>.</w:t>
      </w:r>
      <w:r w:rsidRPr="002A111A">
        <w:rPr>
          <w:rStyle w:val="FootnoteReference"/>
          <w:rFonts w:cs="Arial"/>
          <w:sz w:val="24"/>
          <w:szCs w:val="24"/>
        </w:rPr>
        <w:footnoteReference w:id="29"/>
      </w:r>
    </w:p>
    <w:p w14:paraId="000A64FA" w14:textId="77777777" w:rsidR="00C65CEB" w:rsidRPr="002A111A" w:rsidRDefault="00C65CEB" w:rsidP="00B446F1">
      <w:pPr>
        <w:ind w:left="567" w:hanging="567"/>
        <w:rPr>
          <w:rFonts w:cs="Arial"/>
          <w:szCs w:val="24"/>
        </w:rPr>
      </w:pPr>
    </w:p>
    <w:p w14:paraId="0BEF24C0" w14:textId="7959A531" w:rsidR="0099111A" w:rsidRPr="002A111A" w:rsidRDefault="000C1CF8" w:rsidP="00B446F1">
      <w:pPr>
        <w:rPr>
          <w:rFonts w:cs="Arial"/>
          <w:szCs w:val="24"/>
        </w:rPr>
      </w:pPr>
      <w:r w:rsidRPr="002A111A">
        <w:rPr>
          <w:rFonts w:cs="Arial"/>
          <w:szCs w:val="24"/>
        </w:rPr>
        <w:t>In Spain</w:t>
      </w:r>
      <w:r w:rsidR="009F092A" w:rsidRPr="002A111A">
        <w:rPr>
          <w:rFonts w:cs="Arial"/>
          <w:szCs w:val="24"/>
        </w:rPr>
        <w:t>,</w:t>
      </w:r>
      <w:r w:rsidRPr="002A111A">
        <w:rPr>
          <w:rFonts w:cs="Arial"/>
          <w:szCs w:val="24"/>
        </w:rPr>
        <w:t xml:space="preserve"> most people with disabilities live in the community. Only those with the most severe disabilities live in institutions. Some people with disabilities from rural areas move to a residential facility in larger towns in order to obtain better services. </w:t>
      </w:r>
      <w:r w:rsidR="008112D1" w:rsidRPr="002A111A">
        <w:rPr>
          <w:rFonts w:cs="Arial"/>
          <w:szCs w:val="24"/>
        </w:rPr>
        <w:t>The rights to choose where and with whom to live require</w:t>
      </w:r>
      <w:r w:rsidR="009F092A" w:rsidRPr="002A111A">
        <w:rPr>
          <w:rFonts w:cs="Arial"/>
          <w:szCs w:val="24"/>
        </w:rPr>
        <w:t>s</w:t>
      </w:r>
      <w:r w:rsidR="008112D1" w:rsidRPr="002A111A">
        <w:rPr>
          <w:rFonts w:cs="Arial"/>
          <w:szCs w:val="24"/>
        </w:rPr>
        <w:t xml:space="preserve"> physical conditions of the homes that make it possible. Most </w:t>
      </w:r>
      <w:r w:rsidR="008F6915" w:rsidRPr="002A111A">
        <w:rPr>
          <w:rFonts w:cs="Arial"/>
          <w:szCs w:val="24"/>
        </w:rPr>
        <w:t>people</w:t>
      </w:r>
      <w:r w:rsidR="0099111A" w:rsidRPr="002A111A">
        <w:rPr>
          <w:rFonts w:cs="Arial"/>
          <w:szCs w:val="24"/>
        </w:rPr>
        <w:t xml:space="preserve"> </w:t>
      </w:r>
      <w:r w:rsidR="008112D1" w:rsidRPr="002A111A">
        <w:rPr>
          <w:rFonts w:cs="Arial"/>
          <w:szCs w:val="24"/>
        </w:rPr>
        <w:t>live in multi-unit housing or apartment buildings, and there are several laws applicable to these living arrangements, both public and private properties. The owner or the landlord is responsible for meeting the requirements for an accessible building. There is funding support available for different adaptations and removal of barriers that can be request by disabled people to adapt their houses, or by a Community of owners if additional adaptations (e.g. elevators, ramps, etc.) are required.</w:t>
      </w:r>
    </w:p>
    <w:p w14:paraId="135FC2DA" w14:textId="77777777" w:rsidR="00DF3C6C" w:rsidRPr="002A111A" w:rsidRDefault="00DF3C6C" w:rsidP="00B446F1">
      <w:pPr>
        <w:rPr>
          <w:rFonts w:cs="Arial"/>
          <w:szCs w:val="24"/>
        </w:rPr>
      </w:pPr>
    </w:p>
    <w:p w14:paraId="2DF2F814" w14:textId="19D0EDFD" w:rsidR="008E4ACD" w:rsidRPr="002A111A" w:rsidRDefault="000C1CF8" w:rsidP="00B446F1">
      <w:pPr>
        <w:rPr>
          <w:rFonts w:cs="Arial"/>
          <w:szCs w:val="24"/>
        </w:rPr>
      </w:pPr>
      <w:r w:rsidRPr="002A111A">
        <w:rPr>
          <w:rFonts w:cs="Arial"/>
          <w:szCs w:val="24"/>
        </w:rPr>
        <w:t xml:space="preserve">Financial support is also important to prevent some people with disabilities </w:t>
      </w:r>
      <w:r w:rsidR="009F092A" w:rsidRPr="002A111A">
        <w:rPr>
          <w:rFonts w:cs="Arial"/>
          <w:szCs w:val="24"/>
        </w:rPr>
        <w:t xml:space="preserve">from </w:t>
      </w:r>
      <w:r w:rsidRPr="002A111A">
        <w:rPr>
          <w:rFonts w:cs="Arial"/>
          <w:szCs w:val="24"/>
        </w:rPr>
        <w:t>being forced to live in a</w:t>
      </w:r>
      <w:r w:rsidR="008F6915" w:rsidRPr="002A111A">
        <w:rPr>
          <w:rFonts w:cs="Arial"/>
          <w:szCs w:val="24"/>
        </w:rPr>
        <w:t>n</w:t>
      </w:r>
      <w:r w:rsidRPr="002A111A">
        <w:rPr>
          <w:rFonts w:cs="Arial"/>
          <w:szCs w:val="24"/>
        </w:rPr>
        <w:t xml:space="preserve"> institution due to the lack of individualized human, and technical support. In this regard, several laws determine the different types of services and aids available for people with disabilities, depending their level of disability</w:t>
      </w:r>
      <w:r w:rsidR="00DF3C6C" w:rsidRPr="002A111A">
        <w:rPr>
          <w:rFonts w:cs="Arial"/>
          <w:szCs w:val="24"/>
        </w:rPr>
        <w:t xml:space="preserve">. </w:t>
      </w:r>
    </w:p>
    <w:p w14:paraId="5D23E078" w14:textId="5D85A430" w:rsidR="008E4ACD" w:rsidRPr="002A111A" w:rsidRDefault="008E4ACD" w:rsidP="00B446F1">
      <w:pPr>
        <w:ind w:left="567" w:hanging="567"/>
        <w:rPr>
          <w:rFonts w:cs="Arial"/>
          <w:szCs w:val="24"/>
        </w:rPr>
      </w:pPr>
    </w:p>
    <w:p w14:paraId="44674731" w14:textId="12E45B0C" w:rsidR="00647DE8" w:rsidRPr="002A111A" w:rsidRDefault="00ED6A9A" w:rsidP="00B446F1">
      <w:pPr>
        <w:pStyle w:val="Heading2"/>
        <w:rPr>
          <w:rFonts w:cs="Arial"/>
          <w:szCs w:val="24"/>
        </w:rPr>
      </w:pPr>
      <w:bookmarkStart w:id="16" w:name="_Toc529874061"/>
      <w:bookmarkStart w:id="17" w:name="_Toc7609262"/>
      <w:r w:rsidRPr="002A111A">
        <w:rPr>
          <w:rFonts w:cs="Arial"/>
          <w:szCs w:val="24"/>
        </w:rPr>
        <w:t>What are the a</w:t>
      </w:r>
      <w:r w:rsidR="008E4ACD" w:rsidRPr="002A111A">
        <w:rPr>
          <w:rFonts w:cs="Arial"/>
          <w:szCs w:val="24"/>
        </w:rPr>
        <w:t>ims and objective</w:t>
      </w:r>
      <w:r w:rsidR="00647DE8" w:rsidRPr="002A111A">
        <w:rPr>
          <w:rFonts w:cs="Arial"/>
          <w:szCs w:val="24"/>
        </w:rPr>
        <w:t>s of relevant strategie</w:t>
      </w:r>
      <w:r w:rsidR="006E7253" w:rsidRPr="002A111A">
        <w:rPr>
          <w:rFonts w:cs="Arial"/>
          <w:szCs w:val="24"/>
        </w:rPr>
        <w:t>s, including relevant targets and milestones?</w:t>
      </w:r>
      <w:r w:rsidR="00A76625" w:rsidRPr="002A111A">
        <w:rPr>
          <w:rFonts w:cs="Arial"/>
          <w:szCs w:val="24"/>
        </w:rPr>
        <w:t xml:space="preserve"> Are they linked to ESIF?</w:t>
      </w:r>
      <w:bookmarkEnd w:id="16"/>
      <w:bookmarkEnd w:id="17"/>
    </w:p>
    <w:p w14:paraId="78100FA0" w14:textId="77777777" w:rsidR="00DF3C6C" w:rsidRPr="002A111A" w:rsidRDefault="00DF3C6C" w:rsidP="00B446F1">
      <w:pPr>
        <w:ind w:left="567" w:hanging="567"/>
        <w:rPr>
          <w:rFonts w:cs="Arial"/>
          <w:szCs w:val="24"/>
        </w:rPr>
      </w:pPr>
    </w:p>
    <w:p w14:paraId="41A14BE3" w14:textId="77777777" w:rsidR="00DF3C6C" w:rsidRPr="002A111A" w:rsidRDefault="00946E5B" w:rsidP="00B446F1">
      <w:pPr>
        <w:ind w:left="567" w:hanging="567"/>
        <w:rPr>
          <w:rFonts w:cs="Arial"/>
          <w:szCs w:val="24"/>
        </w:rPr>
      </w:pPr>
      <w:r w:rsidRPr="002A111A">
        <w:rPr>
          <w:rFonts w:cs="Arial"/>
          <w:szCs w:val="24"/>
        </w:rPr>
        <w:t xml:space="preserve">To our knowledge, there </w:t>
      </w:r>
      <w:r w:rsidR="009F092A" w:rsidRPr="002A111A">
        <w:rPr>
          <w:rFonts w:cs="Arial"/>
          <w:szCs w:val="24"/>
        </w:rPr>
        <w:t xml:space="preserve">is </w:t>
      </w:r>
      <w:r w:rsidRPr="002A111A">
        <w:rPr>
          <w:rFonts w:cs="Arial"/>
          <w:szCs w:val="24"/>
        </w:rPr>
        <w:t>no</w:t>
      </w:r>
      <w:r w:rsidR="00EE20CB" w:rsidRPr="002A111A">
        <w:rPr>
          <w:rFonts w:cs="Arial"/>
          <w:szCs w:val="24"/>
        </w:rPr>
        <w:t xml:space="preserve"> mention </w:t>
      </w:r>
      <w:r w:rsidR="009F092A" w:rsidRPr="002A111A">
        <w:rPr>
          <w:rFonts w:cs="Arial"/>
          <w:szCs w:val="24"/>
        </w:rPr>
        <w:t xml:space="preserve">of </w:t>
      </w:r>
      <w:r w:rsidR="00EE20CB" w:rsidRPr="002A111A">
        <w:rPr>
          <w:rFonts w:cs="Arial"/>
          <w:szCs w:val="24"/>
        </w:rPr>
        <w:t>deinstitutiona</w:t>
      </w:r>
      <w:r w:rsidR="00DF3C6C" w:rsidRPr="002A111A">
        <w:rPr>
          <w:rFonts w:cs="Arial"/>
          <w:szCs w:val="24"/>
        </w:rPr>
        <w:t>lization, as considered in this</w:t>
      </w:r>
    </w:p>
    <w:p w14:paraId="4922F658" w14:textId="623393BC" w:rsidR="00490DA3" w:rsidRPr="002A111A" w:rsidRDefault="00EE20CB" w:rsidP="00661539">
      <w:r w:rsidRPr="002A111A">
        <w:t xml:space="preserve">report, in any of the projects co-financed by the ESF. There is no mention </w:t>
      </w:r>
      <w:r w:rsidR="00DF3C6C" w:rsidRPr="002A111A">
        <w:t>of</w:t>
      </w:r>
      <w:r w:rsidR="00661539" w:rsidRPr="002A111A">
        <w:t xml:space="preserve"> </w:t>
      </w:r>
      <w:r w:rsidRPr="002A111A">
        <w:t>deinstitutionalization in documents such as the Partnership Agreement with the European Commission, National Reform Programme, National Poverty Reduction Strategy, National Disability Strategy, etc.</w:t>
      </w:r>
      <w:r w:rsidR="00CF568C" w:rsidRPr="002A111A">
        <w:t xml:space="preserve"> There is no document for Spain in the “Community Living for Europe: Structural Funds Watch country profiles”</w:t>
      </w:r>
      <w:r w:rsidR="007A31CC" w:rsidRPr="002A111A">
        <w:t xml:space="preserve">. </w:t>
      </w:r>
    </w:p>
    <w:p w14:paraId="0C8B8873" w14:textId="77777777" w:rsidR="00DF3C6C" w:rsidRPr="002A111A" w:rsidRDefault="00DF3C6C" w:rsidP="00B446F1">
      <w:pPr>
        <w:ind w:left="567" w:hanging="567"/>
        <w:rPr>
          <w:rFonts w:cs="Arial"/>
          <w:szCs w:val="24"/>
        </w:rPr>
      </w:pPr>
    </w:p>
    <w:p w14:paraId="5D517C1D" w14:textId="36F93E78" w:rsidR="00EE20CB" w:rsidRPr="002A111A" w:rsidRDefault="00665D93" w:rsidP="00661539">
      <w:r w:rsidRPr="002A111A">
        <w:t>However, in the document: “Opening up communities, closing down institutions: Harnessing the European Structural and Investment Funds” by the Structural Funds Watch</w:t>
      </w:r>
      <w:r w:rsidR="009F092A" w:rsidRPr="002A111A">
        <w:t>,</w:t>
      </w:r>
      <w:r w:rsidRPr="002A111A">
        <w:t xml:space="preserve"> it state</w:t>
      </w:r>
      <w:r w:rsidR="009F092A" w:rsidRPr="002A111A">
        <w:t>s</w:t>
      </w:r>
      <w:r w:rsidRPr="002A111A">
        <w:t xml:space="preserve"> that</w:t>
      </w:r>
      <w:r w:rsidRPr="002A111A">
        <w:rPr>
          <w:rStyle w:val="FootnoteReference"/>
          <w:rFonts w:cs="Arial"/>
          <w:sz w:val="24"/>
          <w:szCs w:val="24"/>
        </w:rPr>
        <w:footnoteReference w:id="30"/>
      </w:r>
      <w:r w:rsidRPr="002A111A">
        <w:t xml:space="preserve"> </w:t>
      </w:r>
      <w:r w:rsidR="00921D97" w:rsidRPr="002A111A">
        <w:t xml:space="preserve">Institutional care is commonplace in Spain (…), The United Nations Committee on the Rights of Persons with Disabilities has highlighted the increase in the institutionalisation of people with disabilities in Spain (…), and </w:t>
      </w:r>
      <w:r w:rsidR="009F092A" w:rsidRPr="002A111A">
        <w:t>t</w:t>
      </w:r>
      <w:r w:rsidR="00921D97" w:rsidRPr="002A111A">
        <w:t>he Council of Europe Commissioner for Human Rights has raised concerns about institutionalisation in Spain</w:t>
      </w:r>
      <w:r w:rsidR="00A22C73" w:rsidRPr="002A111A">
        <w:t>.</w:t>
      </w:r>
      <w:r w:rsidR="00921D97" w:rsidRPr="002A111A">
        <w:rPr>
          <w:rStyle w:val="FootnoteReference"/>
          <w:rFonts w:cs="Arial"/>
          <w:sz w:val="24"/>
          <w:szCs w:val="24"/>
        </w:rPr>
        <w:footnoteReference w:id="31"/>
      </w:r>
      <w:r w:rsidR="00661539" w:rsidRPr="002A111A">
        <w:t xml:space="preserve"> </w:t>
      </w:r>
      <w:r w:rsidR="007A31CC" w:rsidRPr="002A111A">
        <w:t xml:space="preserve">There is an agreement to include alternative services to </w:t>
      </w:r>
      <w:r w:rsidR="007A31CC" w:rsidRPr="002A111A">
        <w:lastRenderedPageBreak/>
        <w:t>institutionalization of people with mental health issues in the New National Strategy of Mental Health of the National Health System (for the period 2017-2022)</w:t>
      </w:r>
      <w:r w:rsidR="00661539" w:rsidRPr="002A111A">
        <w:t>.</w:t>
      </w:r>
      <w:r w:rsidR="007A31CC" w:rsidRPr="002A111A">
        <w:rPr>
          <w:rStyle w:val="FootnoteReference"/>
          <w:rFonts w:cs="Arial"/>
          <w:sz w:val="24"/>
          <w:szCs w:val="24"/>
        </w:rPr>
        <w:footnoteReference w:id="32"/>
      </w:r>
    </w:p>
    <w:p w14:paraId="5FFE55E7" w14:textId="77777777" w:rsidR="00DF3C6C" w:rsidRPr="002A111A" w:rsidRDefault="00DF3C6C" w:rsidP="00B446F1">
      <w:pPr>
        <w:ind w:left="567"/>
        <w:rPr>
          <w:rFonts w:cs="Arial"/>
          <w:szCs w:val="24"/>
        </w:rPr>
      </w:pPr>
    </w:p>
    <w:p w14:paraId="1A133ED4" w14:textId="037C1D23" w:rsidR="008E4ACD" w:rsidRPr="002A111A" w:rsidRDefault="00EE20CB" w:rsidP="00661539">
      <w:r w:rsidRPr="002A111A">
        <w:t xml:space="preserve">Living independently and being included in the community </w:t>
      </w:r>
      <w:r w:rsidR="009F092A" w:rsidRPr="002A111A">
        <w:t xml:space="preserve">is </w:t>
      </w:r>
      <w:r w:rsidRPr="002A111A">
        <w:t>considered more a</w:t>
      </w:r>
      <w:r w:rsidR="008F6915" w:rsidRPr="002A111A">
        <w:t>n</w:t>
      </w:r>
      <w:r w:rsidRPr="002A111A">
        <w:t xml:space="preserve"> issue for </w:t>
      </w:r>
      <w:r w:rsidR="008F6915" w:rsidRPr="002A111A">
        <w:t>societal groups</w:t>
      </w:r>
      <w:r w:rsidR="00F1487D" w:rsidRPr="002A111A">
        <w:t xml:space="preserve"> </w:t>
      </w:r>
      <w:r w:rsidRPr="002A111A">
        <w:t xml:space="preserve">such as </w:t>
      </w:r>
      <w:r w:rsidR="008F6915" w:rsidRPr="002A111A">
        <w:t>R</w:t>
      </w:r>
      <w:r w:rsidRPr="002A111A">
        <w:t xml:space="preserve">oma, migrants, etc. It is also perceived as an issue associated to poverty, so the laws and different programs are aimed at promoting employment, </w:t>
      </w:r>
      <w:r w:rsidR="00CF568C" w:rsidRPr="002A111A">
        <w:t>health, education, social services… for vulnerable groups.</w:t>
      </w:r>
      <w:r w:rsidR="00993F26" w:rsidRPr="002A111A">
        <w:t xml:space="preserve"> </w:t>
      </w:r>
      <w:r w:rsidR="00CF568C" w:rsidRPr="002A111A">
        <w:t xml:space="preserve">Living in the community in Spain is more a matter of being eligible for different aids, as those explained earlier in this </w:t>
      </w:r>
      <w:r w:rsidR="00D83D42" w:rsidRPr="002A111A">
        <w:t>report</w:t>
      </w:r>
      <w:r w:rsidR="00993F26" w:rsidRPr="002A111A">
        <w:t xml:space="preserve">. It is not </w:t>
      </w:r>
      <w:r w:rsidR="009F1BE1" w:rsidRPr="002A111A">
        <w:t>considered a priority at governmental level</w:t>
      </w:r>
      <w:r w:rsidR="00661539" w:rsidRPr="002A111A">
        <w:t>.</w:t>
      </w:r>
    </w:p>
    <w:p w14:paraId="6F5DF9C5" w14:textId="77777777" w:rsidR="008E4ACD" w:rsidRPr="002A111A" w:rsidRDefault="008E4ACD" w:rsidP="00B446F1">
      <w:pPr>
        <w:ind w:left="567" w:hanging="567"/>
        <w:rPr>
          <w:rFonts w:cs="Arial"/>
          <w:b/>
          <w:szCs w:val="24"/>
        </w:rPr>
      </w:pPr>
    </w:p>
    <w:p w14:paraId="0343E199" w14:textId="3CFB586B" w:rsidR="008E4ACD" w:rsidRPr="002A111A" w:rsidRDefault="00647DE8" w:rsidP="00B446F1">
      <w:pPr>
        <w:pStyle w:val="Heading2"/>
        <w:rPr>
          <w:rFonts w:cs="Arial"/>
          <w:szCs w:val="24"/>
        </w:rPr>
      </w:pPr>
      <w:bookmarkStart w:id="18" w:name="_Toc529874062"/>
      <w:bookmarkStart w:id="19" w:name="_Toc7609263"/>
      <w:r w:rsidRPr="002A111A">
        <w:rPr>
          <w:rFonts w:cs="Arial"/>
          <w:szCs w:val="24"/>
        </w:rPr>
        <w:t>Please s</w:t>
      </w:r>
      <w:r w:rsidR="008E4ACD" w:rsidRPr="002A111A">
        <w:rPr>
          <w:rFonts w:cs="Arial"/>
          <w:szCs w:val="24"/>
        </w:rPr>
        <w:t>ummar</w:t>
      </w:r>
      <w:r w:rsidRPr="002A111A">
        <w:rPr>
          <w:rFonts w:cs="Arial"/>
          <w:szCs w:val="24"/>
        </w:rPr>
        <w:t>ise</w:t>
      </w:r>
      <w:r w:rsidR="008E4ACD" w:rsidRPr="002A111A">
        <w:rPr>
          <w:rFonts w:cs="Arial"/>
          <w:szCs w:val="24"/>
        </w:rPr>
        <w:t xml:space="preserve"> the planned approach and </w:t>
      </w:r>
      <w:r w:rsidRPr="002A111A">
        <w:rPr>
          <w:rFonts w:cs="Arial"/>
          <w:szCs w:val="24"/>
        </w:rPr>
        <w:t xml:space="preserve">the </w:t>
      </w:r>
      <w:r w:rsidR="008E4ACD" w:rsidRPr="002A111A">
        <w:rPr>
          <w:rFonts w:cs="Arial"/>
          <w:szCs w:val="24"/>
        </w:rPr>
        <w:t>actions to be take</w:t>
      </w:r>
      <w:r w:rsidRPr="002A111A">
        <w:rPr>
          <w:rFonts w:cs="Arial"/>
          <w:szCs w:val="24"/>
        </w:rPr>
        <w:t>n in relevant strategies</w:t>
      </w:r>
      <w:bookmarkEnd w:id="18"/>
      <w:bookmarkEnd w:id="19"/>
    </w:p>
    <w:p w14:paraId="08D18B4C" w14:textId="77777777" w:rsidR="00A22C73" w:rsidRPr="002A111A" w:rsidRDefault="00A22C73" w:rsidP="00A22C73">
      <w:pPr>
        <w:rPr>
          <w:rFonts w:cs="Arial"/>
          <w:szCs w:val="24"/>
        </w:rPr>
      </w:pPr>
    </w:p>
    <w:p w14:paraId="5E3254C4" w14:textId="2AD942B0" w:rsidR="008E4ACD" w:rsidRPr="002A111A" w:rsidRDefault="00CF568C" w:rsidP="00A22C73">
      <w:pPr>
        <w:rPr>
          <w:rFonts w:cs="Arial"/>
          <w:szCs w:val="24"/>
        </w:rPr>
      </w:pPr>
      <w:r w:rsidRPr="002A111A">
        <w:rPr>
          <w:rFonts w:cs="Arial"/>
          <w:szCs w:val="24"/>
        </w:rPr>
        <w:t>There are no relevant strategies as defined in the guidelines of this report</w:t>
      </w:r>
      <w:r w:rsidR="00A22C73" w:rsidRPr="002A111A">
        <w:rPr>
          <w:rFonts w:cs="Arial"/>
          <w:szCs w:val="24"/>
        </w:rPr>
        <w:t>.</w:t>
      </w:r>
    </w:p>
    <w:p w14:paraId="4BEAC729" w14:textId="77777777" w:rsidR="008E4ACD" w:rsidRPr="002A111A" w:rsidRDefault="008E4ACD" w:rsidP="00B446F1">
      <w:pPr>
        <w:ind w:left="567" w:hanging="567"/>
        <w:rPr>
          <w:rFonts w:cs="Arial"/>
          <w:szCs w:val="24"/>
        </w:rPr>
      </w:pPr>
    </w:p>
    <w:p w14:paraId="08E74637" w14:textId="61E30BC2" w:rsidR="00716B20" w:rsidRPr="002A111A" w:rsidRDefault="00716B20" w:rsidP="00B446F1">
      <w:pPr>
        <w:pStyle w:val="Heading2"/>
        <w:rPr>
          <w:rFonts w:cs="Arial"/>
          <w:szCs w:val="24"/>
        </w:rPr>
      </w:pPr>
      <w:bookmarkStart w:id="20" w:name="_Toc529874063"/>
      <w:bookmarkStart w:id="21" w:name="_Toc7609264"/>
      <w:r w:rsidRPr="002A111A">
        <w:rPr>
          <w:rFonts w:cs="Arial"/>
          <w:szCs w:val="24"/>
        </w:rPr>
        <w:t>What budgetary commitments are made to support these strategies, both for domestic and EU funds?</w:t>
      </w:r>
      <w:bookmarkEnd w:id="20"/>
      <w:bookmarkEnd w:id="21"/>
    </w:p>
    <w:p w14:paraId="6D60B168" w14:textId="77777777" w:rsidR="00A22C73" w:rsidRPr="002A111A" w:rsidRDefault="00A22C73" w:rsidP="00B446F1">
      <w:pPr>
        <w:ind w:left="567" w:hanging="567"/>
        <w:rPr>
          <w:rFonts w:cs="Arial"/>
          <w:szCs w:val="24"/>
        </w:rPr>
      </w:pPr>
    </w:p>
    <w:p w14:paraId="2B7D690C" w14:textId="434BD77B" w:rsidR="008E4ACD" w:rsidRPr="002A111A" w:rsidRDefault="00CF568C" w:rsidP="00B446F1">
      <w:pPr>
        <w:ind w:left="567" w:hanging="567"/>
        <w:rPr>
          <w:rFonts w:cs="Arial"/>
          <w:szCs w:val="24"/>
        </w:rPr>
      </w:pPr>
      <w:r w:rsidRPr="002A111A">
        <w:rPr>
          <w:rFonts w:cs="Arial"/>
          <w:szCs w:val="24"/>
        </w:rPr>
        <w:t>There are no relevant strategies as defined in the guidelines of this report</w:t>
      </w:r>
      <w:r w:rsidR="00A22C73" w:rsidRPr="002A111A">
        <w:rPr>
          <w:rFonts w:cs="Arial"/>
          <w:szCs w:val="24"/>
        </w:rPr>
        <w:t>.</w:t>
      </w:r>
    </w:p>
    <w:p w14:paraId="0533CCA0" w14:textId="77777777" w:rsidR="008E4ACD" w:rsidRPr="002A111A" w:rsidRDefault="008E4ACD" w:rsidP="00B446F1">
      <w:pPr>
        <w:ind w:left="567" w:hanging="567"/>
        <w:rPr>
          <w:rFonts w:cs="Arial"/>
          <w:b/>
          <w:szCs w:val="24"/>
        </w:rPr>
      </w:pPr>
    </w:p>
    <w:p w14:paraId="2F3DD2BE" w14:textId="41CD6E3B" w:rsidR="00FF192C" w:rsidRPr="002A111A" w:rsidRDefault="00FF192C" w:rsidP="00B446F1">
      <w:pPr>
        <w:pStyle w:val="Heading2"/>
        <w:rPr>
          <w:rFonts w:cs="Arial"/>
          <w:szCs w:val="24"/>
        </w:rPr>
      </w:pPr>
      <w:bookmarkStart w:id="22" w:name="_Toc529874064"/>
      <w:bookmarkStart w:id="23" w:name="_Toc7609265"/>
      <w:r w:rsidRPr="002A111A">
        <w:rPr>
          <w:rFonts w:cs="Arial"/>
          <w:szCs w:val="24"/>
        </w:rPr>
        <w:t>What is the (official) involvement of persons with disabilities and/or their representative organisations in the development of the strategies and plans</w:t>
      </w:r>
      <w:bookmarkEnd w:id="22"/>
      <w:bookmarkEnd w:id="23"/>
    </w:p>
    <w:p w14:paraId="0665611C" w14:textId="77777777" w:rsidR="00A22C73" w:rsidRPr="002A111A" w:rsidRDefault="00A22C73" w:rsidP="00B446F1">
      <w:pPr>
        <w:ind w:left="567" w:hanging="567"/>
        <w:rPr>
          <w:rFonts w:cs="Arial"/>
          <w:szCs w:val="24"/>
        </w:rPr>
      </w:pPr>
    </w:p>
    <w:p w14:paraId="71CA9AD6" w14:textId="11BFCE98" w:rsidR="005D47FB" w:rsidRPr="002A111A" w:rsidRDefault="00D06564" w:rsidP="00A22C73">
      <w:r w:rsidRPr="002A111A">
        <w:t xml:space="preserve">As mentioned earlier, The CERMI (Spanish Committee of Representatives of People with Disabilities) has published its annual report </w:t>
      </w:r>
      <w:r w:rsidR="009F092A" w:rsidRPr="002A111A">
        <w:t xml:space="preserve">in April 2017 </w:t>
      </w:r>
      <w:r w:rsidRPr="002A111A">
        <w:t xml:space="preserve">on the compliance of our country with the UN Convention on the rights of persons with disabilities during 2016. In this regard, CERMI argues that in relation to Article 19: Right to live independently and to be included in the community, the lack of resources and services is worrisome, particularly in rural areas where placement in residential facilities is the only possibility. </w:t>
      </w:r>
      <w:r w:rsidR="009F092A" w:rsidRPr="002A111A">
        <w:t>Also</w:t>
      </w:r>
      <w:r w:rsidRPr="002A111A">
        <w:t>, there is concern about the restriction of the scope of aid for personal autonomy both in relation to people with disabilities who are eligible, as well as in the field of activity for which personal assistance can be utilized (only education and work</w:t>
      </w:r>
      <w:r w:rsidR="009F092A" w:rsidRPr="002A111A">
        <w:t>)</w:t>
      </w:r>
      <w:r w:rsidR="005D47FB" w:rsidRPr="002A111A">
        <w:t>.</w:t>
      </w:r>
    </w:p>
    <w:p w14:paraId="187D99E1" w14:textId="77777777" w:rsidR="00DF3C6C" w:rsidRPr="002A111A" w:rsidRDefault="00DF3C6C" w:rsidP="00B446F1">
      <w:pPr>
        <w:ind w:left="567" w:hanging="567"/>
        <w:rPr>
          <w:rFonts w:cs="Arial"/>
          <w:color w:val="000000"/>
          <w:szCs w:val="24"/>
        </w:rPr>
      </w:pPr>
    </w:p>
    <w:p w14:paraId="04A2FF74" w14:textId="79A3DE10" w:rsidR="005D47FB" w:rsidRPr="002A111A" w:rsidRDefault="005D47FB" w:rsidP="00A22C73">
      <w:r w:rsidRPr="002A111A">
        <w:t>The Associative Movement of Full Inclusion</w:t>
      </w:r>
      <w:r w:rsidR="00E10F2D" w:rsidRPr="002A111A">
        <w:t xml:space="preserve"> (Plena Inclusion; </w:t>
      </w:r>
      <w:hyperlink r:id="rId9" w:history="1">
        <w:r w:rsidR="00A22C73" w:rsidRPr="002A111A">
          <w:rPr>
            <w:rStyle w:val="Hyperlink"/>
          </w:rPr>
          <w:t>http://www.plenainclusion.org/</w:t>
        </w:r>
      </w:hyperlink>
      <w:r w:rsidR="00E10F2D" w:rsidRPr="002A111A">
        <w:t>)</w:t>
      </w:r>
      <w:r w:rsidRPr="002A111A">
        <w:t>, on people with intellectual disabilities, is committed to developing the following proposals as a framework for its actions concerning social inclusion</w:t>
      </w:r>
      <w:r w:rsidR="00A22C73" w:rsidRPr="002A111A">
        <w:t>:</w:t>
      </w:r>
      <w:r w:rsidRPr="002A111A">
        <w:rPr>
          <w:rStyle w:val="FootnoteReference"/>
          <w:rFonts w:cs="Arial"/>
          <w:sz w:val="24"/>
          <w:szCs w:val="24"/>
        </w:rPr>
        <w:footnoteReference w:id="33"/>
      </w:r>
    </w:p>
    <w:p w14:paraId="1E8AFB3C" w14:textId="77777777" w:rsidR="00A22C73" w:rsidRPr="002A111A" w:rsidRDefault="00A22C73" w:rsidP="00A22C73"/>
    <w:p w14:paraId="7C2EB46B" w14:textId="748C7254" w:rsidR="005D47FB" w:rsidRPr="002A111A" w:rsidRDefault="009F092A" w:rsidP="00A22C73">
      <w:pPr>
        <w:pStyle w:val="ListParagraph"/>
        <w:numPr>
          <w:ilvl w:val="0"/>
          <w:numId w:val="27"/>
        </w:numPr>
        <w:ind w:left="567" w:hanging="567"/>
        <w:rPr>
          <w:rFonts w:cs="Arial"/>
          <w:szCs w:val="24"/>
        </w:rPr>
      </w:pPr>
      <w:r w:rsidRPr="002A111A">
        <w:rPr>
          <w:rFonts w:cs="Arial"/>
          <w:szCs w:val="24"/>
        </w:rPr>
        <w:t xml:space="preserve">Calling for </w:t>
      </w:r>
      <w:r w:rsidR="005D47FB" w:rsidRPr="002A111A">
        <w:rPr>
          <w:rFonts w:cs="Arial"/>
          <w:szCs w:val="24"/>
        </w:rPr>
        <w:t>the end of the model of segregated welfare services</w:t>
      </w:r>
      <w:r w:rsidR="0020410D">
        <w:rPr>
          <w:rFonts w:cs="Arial"/>
          <w:szCs w:val="24"/>
        </w:rPr>
        <w:t xml:space="preserve"> </w:t>
      </w:r>
      <w:r w:rsidR="005D47FB" w:rsidRPr="002A111A">
        <w:rPr>
          <w:rFonts w:cs="Arial"/>
          <w:szCs w:val="24"/>
        </w:rPr>
        <w:t xml:space="preserve">and promoting its transformation towards a model of supports and services based on the quality of </w:t>
      </w:r>
      <w:r w:rsidR="005D47FB" w:rsidRPr="002A111A">
        <w:rPr>
          <w:rFonts w:cs="Arial"/>
          <w:szCs w:val="24"/>
        </w:rPr>
        <w:lastRenderedPageBreak/>
        <w:t>life, full citizenship, adaptation to the needs of the person and inclusion in the community.</w:t>
      </w:r>
    </w:p>
    <w:p w14:paraId="26CC5E50" w14:textId="77777777" w:rsidR="005D47FB" w:rsidRPr="002A111A" w:rsidRDefault="00F053C9" w:rsidP="00A22C73">
      <w:pPr>
        <w:pStyle w:val="ListParagraph"/>
        <w:numPr>
          <w:ilvl w:val="0"/>
          <w:numId w:val="27"/>
        </w:numPr>
        <w:ind w:left="567" w:hanging="567"/>
        <w:rPr>
          <w:rFonts w:cs="Arial"/>
          <w:szCs w:val="24"/>
        </w:rPr>
      </w:pPr>
      <w:r w:rsidRPr="002A111A">
        <w:rPr>
          <w:rFonts w:cs="Arial"/>
          <w:szCs w:val="24"/>
        </w:rPr>
        <w:t xml:space="preserve">Implementing </w:t>
      </w:r>
      <w:r w:rsidR="005D47FB" w:rsidRPr="002A111A">
        <w:rPr>
          <w:rFonts w:cs="Arial"/>
          <w:szCs w:val="24"/>
        </w:rPr>
        <w:t>a strict monitoring of compliance with the basic rights established by the UN Convention of rights, developing actions of social complaints and demand of dignified living conditions for all.</w:t>
      </w:r>
    </w:p>
    <w:p w14:paraId="094AFD34" w14:textId="77777777" w:rsidR="005D47FB" w:rsidRPr="002A111A" w:rsidRDefault="005D47FB" w:rsidP="00A22C73">
      <w:pPr>
        <w:pStyle w:val="ListParagraph"/>
        <w:numPr>
          <w:ilvl w:val="0"/>
          <w:numId w:val="27"/>
        </w:numPr>
        <w:ind w:left="567" w:hanging="567"/>
        <w:rPr>
          <w:rFonts w:cs="Arial"/>
          <w:szCs w:val="24"/>
        </w:rPr>
      </w:pPr>
      <w:r w:rsidRPr="002A111A">
        <w:rPr>
          <w:rFonts w:cs="Arial"/>
          <w:szCs w:val="24"/>
        </w:rPr>
        <w:t xml:space="preserve">Support families so that all their members can develop their life </w:t>
      </w:r>
      <w:r w:rsidR="00F053C9" w:rsidRPr="002A111A">
        <w:rPr>
          <w:rFonts w:cs="Arial"/>
          <w:szCs w:val="24"/>
        </w:rPr>
        <w:t>goals</w:t>
      </w:r>
      <w:r w:rsidRPr="002A111A">
        <w:rPr>
          <w:rFonts w:cs="Arial"/>
          <w:szCs w:val="24"/>
        </w:rPr>
        <w:t>, promoting among them an active role in the vindication of these supports.</w:t>
      </w:r>
    </w:p>
    <w:p w14:paraId="1CE07B13" w14:textId="406D3F90" w:rsidR="005D47FB" w:rsidRPr="002A111A" w:rsidRDefault="005D47FB" w:rsidP="00A22C73">
      <w:pPr>
        <w:pStyle w:val="ListParagraph"/>
        <w:numPr>
          <w:ilvl w:val="0"/>
          <w:numId w:val="27"/>
        </w:numPr>
        <w:ind w:left="567" w:hanging="567"/>
        <w:rPr>
          <w:rFonts w:cs="Arial"/>
          <w:szCs w:val="24"/>
        </w:rPr>
      </w:pPr>
      <w:r w:rsidRPr="002A111A">
        <w:rPr>
          <w:rFonts w:cs="Arial"/>
          <w:szCs w:val="24"/>
        </w:rPr>
        <w:t>Work with the environment to advance in the coordination and training of a social, health, educational, justice, ... network cent</w:t>
      </w:r>
      <w:r w:rsidR="00A22C73" w:rsidRPr="002A111A">
        <w:rPr>
          <w:rFonts w:cs="Arial"/>
          <w:szCs w:val="24"/>
        </w:rPr>
        <w:t>r</w:t>
      </w:r>
      <w:r w:rsidRPr="002A111A">
        <w:rPr>
          <w:rFonts w:cs="Arial"/>
          <w:szCs w:val="24"/>
        </w:rPr>
        <w:t>ed on the person and with technical and ethical competences that ensure good support.</w:t>
      </w:r>
    </w:p>
    <w:p w14:paraId="6ADE50CE" w14:textId="77777777" w:rsidR="005D47FB" w:rsidRPr="002A111A" w:rsidRDefault="005D47FB" w:rsidP="00A22C73">
      <w:pPr>
        <w:pStyle w:val="ListParagraph"/>
        <w:numPr>
          <w:ilvl w:val="0"/>
          <w:numId w:val="27"/>
        </w:numPr>
        <w:ind w:left="567" w:hanging="567"/>
        <w:rPr>
          <w:rFonts w:cs="Arial"/>
          <w:szCs w:val="24"/>
        </w:rPr>
      </w:pPr>
      <w:r w:rsidRPr="002A111A">
        <w:rPr>
          <w:rFonts w:cs="Arial"/>
          <w:szCs w:val="24"/>
        </w:rPr>
        <w:t>Promote public policies that favour inclusion and exercise of the rights of all persons and their families.</w:t>
      </w:r>
    </w:p>
    <w:p w14:paraId="6DCEE4EC" w14:textId="77777777" w:rsidR="005D47FB" w:rsidRPr="002A111A" w:rsidRDefault="005D47FB" w:rsidP="00A22C73">
      <w:pPr>
        <w:pStyle w:val="ListParagraph"/>
        <w:numPr>
          <w:ilvl w:val="0"/>
          <w:numId w:val="27"/>
        </w:numPr>
        <w:ind w:left="567" w:hanging="567"/>
        <w:rPr>
          <w:rFonts w:cs="Arial"/>
          <w:szCs w:val="24"/>
        </w:rPr>
      </w:pPr>
      <w:r w:rsidRPr="002A111A">
        <w:rPr>
          <w:rFonts w:cs="Arial"/>
          <w:szCs w:val="24"/>
        </w:rPr>
        <w:t>Demand the development of systems to collect data on the population with the most significant disabilities or, at least, guarantee that the reality of these people is reflected in the different general and specific surveys on disability.</w:t>
      </w:r>
    </w:p>
    <w:p w14:paraId="353115C4" w14:textId="234D271E" w:rsidR="008E4ACD" w:rsidRPr="002A111A" w:rsidRDefault="005D47FB" w:rsidP="00B446F1">
      <w:pPr>
        <w:ind w:left="567"/>
        <w:rPr>
          <w:rFonts w:cs="Arial"/>
          <w:szCs w:val="24"/>
        </w:rPr>
      </w:pPr>
      <w:r w:rsidRPr="002A111A">
        <w:rPr>
          <w:rFonts w:cs="Arial"/>
          <w:szCs w:val="24"/>
        </w:rPr>
        <w:t>Ensure that all models and proposals for full inclusion include people with great support needs and their families.</w:t>
      </w:r>
      <w:r w:rsidRPr="002A111A">
        <w:rPr>
          <w:rStyle w:val="FootnoteReference"/>
          <w:rFonts w:cs="Arial"/>
          <w:sz w:val="24"/>
          <w:szCs w:val="24"/>
        </w:rPr>
        <w:footnoteReference w:id="34"/>
      </w:r>
    </w:p>
    <w:p w14:paraId="4E2752F0" w14:textId="77777777" w:rsidR="00647DE8" w:rsidRPr="002A111A" w:rsidRDefault="00647DE8" w:rsidP="00B446F1">
      <w:pPr>
        <w:rPr>
          <w:rFonts w:cs="Arial"/>
          <w:b/>
          <w:szCs w:val="24"/>
        </w:rPr>
      </w:pPr>
    </w:p>
    <w:p w14:paraId="55A5A118" w14:textId="44847E04" w:rsidR="008E4ACD" w:rsidRPr="002A111A" w:rsidRDefault="008E4ACD" w:rsidP="00A22C73">
      <w:pPr>
        <w:pStyle w:val="Heading1"/>
      </w:pPr>
      <w:bookmarkStart w:id="24" w:name="_Toc529874065"/>
      <w:bookmarkStart w:id="25" w:name="_Toc7609266"/>
      <w:r w:rsidRPr="002A111A">
        <w:t>Implementation and monitoring</w:t>
      </w:r>
      <w:bookmarkEnd w:id="24"/>
      <w:bookmarkEnd w:id="25"/>
    </w:p>
    <w:p w14:paraId="4E2202BD" w14:textId="77777777" w:rsidR="008E4ACD" w:rsidRPr="002A111A" w:rsidRDefault="008E4ACD" w:rsidP="00B446F1">
      <w:pPr>
        <w:rPr>
          <w:rFonts w:cs="Arial"/>
          <w:b/>
          <w:szCs w:val="24"/>
        </w:rPr>
      </w:pPr>
    </w:p>
    <w:p w14:paraId="09CFF184" w14:textId="14DC7546" w:rsidR="008E4ACD" w:rsidRPr="002A111A" w:rsidRDefault="008E4ACD" w:rsidP="00B446F1">
      <w:pPr>
        <w:pStyle w:val="Heading2"/>
        <w:rPr>
          <w:rFonts w:cs="Arial"/>
          <w:szCs w:val="24"/>
        </w:rPr>
      </w:pPr>
      <w:bookmarkStart w:id="26" w:name="_Toc529874066"/>
      <w:bookmarkStart w:id="27" w:name="_Toc7609267"/>
      <w:r w:rsidRPr="002A111A">
        <w:rPr>
          <w:rFonts w:cs="Arial"/>
          <w:szCs w:val="24"/>
        </w:rPr>
        <w:t>Summary of relevant calls for proposals</w:t>
      </w:r>
      <w:bookmarkEnd w:id="26"/>
      <w:bookmarkEnd w:id="27"/>
    </w:p>
    <w:p w14:paraId="2404FAA4" w14:textId="77777777" w:rsidR="00A22C73" w:rsidRPr="002A111A" w:rsidRDefault="00A22C73" w:rsidP="00B446F1">
      <w:pPr>
        <w:ind w:left="567" w:hanging="567"/>
        <w:rPr>
          <w:rFonts w:cs="Arial"/>
          <w:szCs w:val="24"/>
        </w:rPr>
      </w:pPr>
    </w:p>
    <w:p w14:paraId="2728A871" w14:textId="1D477CAD" w:rsidR="00E45018" w:rsidRPr="002A111A" w:rsidRDefault="00BC70B6" w:rsidP="00B446F1">
      <w:pPr>
        <w:ind w:left="567" w:hanging="567"/>
        <w:rPr>
          <w:rFonts w:cs="Arial"/>
          <w:szCs w:val="24"/>
        </w:rPr>
      </w:pPr>
      <w:r w:rsidRPr="002A111A">
        <w:rPr>
          <w:rFonts w:cs="Arial"/>
          <w:szCs w:val="24"/>
        </w:rPr>
        <w:t>T</w:t>
      </w:r>
      <w:r w:rsidR="00020F79" w:rsidRPr="002A111A">
        <w:rPr>
          <w:rFonts w:cs="Arial"/>
          <w:szCs w:val="24"/>
        </w:rPr>
        <w:t>o our knowledge, t</w:t>
      </w:r>
      <w:r w:rsidRPr="002A111A">
        <w:rPr>
          <w:rFonts w:cs="Arial"/>
          <w:szCs w:val="24"/>
        </w:rPr>
        <w:t>here are no</w:t>
      </w:r>
      <w:r w:rsidR="00020F79" w:rsidRPr="002A111A">
        <w:rPr>
          <w:rFonts w:cs="Arial"/>
          <w:szCs w:val="24"/>
        </w:rPr>
        <w:t xml:space="preserve"> relevant calls for proposals</w:t>
      </w:r>
      <w:r w:rsidR="00E45018" w:rsidRPr="002A111A">
        <w:rPr>
          <w:rFonts w:cs="Arial"/>
          <w:szCs w:val="24"/>
        </w:rPr>
        <w:t xml:space="preserve"> </w:t>
      </w:r>
      <w:r w:rsidR="008A6487" w:rsidRPr="002A111A">
        <w:rPr>
          <w:rFonts w:cs="Arial"/>
          <w:szCs w:val="24"/>
        </w:rPr>
        <w:t>in this specif</w:t>
      </w:r>
      <w:r w:rsidR="00F053C9" w:rsidRPr="002A111A">
        <w:rPr>
          <w:rFonts w:cs="Arial"/>
          <w:szCs w:val="24"/>
        </w:rPr>
        <w:t>ic</w:t>
      </w:r>
      <w:r w:rsidR="008A6487" w:rsidRPr="002A111A">
        <w:rPr>
          <w:rFonts w:cs="Arial"/>
          <w:szCs w:val="24"/>
        </w:rPr>
        <w:t xml:space="preserve"> regar</w:t>
      </w:r>
      <w:r w:rsidR="00A22C73" w:rsidRPr="002A111A">
        <w:rPr>
          <w:rFonts w:cs="Arial"/>
          <w:szCs w:val="24"/>
        </w:rPr>
        <w:t>d.</w:t>
      </w:r>
    </w:p>
    <w:p w14:paraId="5DD2C4C0" w14:textId="77777777" w:rsidR="00B5485B" w:rsidRPr="002A111A" w:rsidRDefault="00B5485B" w:rsidP="00B446F1">
      <w:pPr>
        <w:ind w:left="567" w:hanging="567"/>
        <w:rPr>
          <w:rFonts w:cs="Arial"/>
          <w:b/>
          <w:szCs w:val="24"/>
        </w:rPr>
      </w:pPr>
    </w:p>
    <w:p w14:paraId="79D2E173" w14:textId="4B6D0898" w:rsidR="00B5485B" w:rsidRPr="002A111A" w:rsidRDefault="00B5485B" w:rsidP="00B446F1">
      <w:pPr>
        <w:pStyle w:val="Heading2"/>
        <w:rPr>
          <w:rFonts w:cs="Arial"/>
          <w:szCs w:val="24"/>
        </w:rPr>
      </w:pPr>
      <w:bookmarkStart w:id="28" w:name="_Toc529874067"/>
      <w:bookmarkStart w:id="29" w:name="_Toc7609268"/>
      <w:r w:rsidRPr="002A111A">
        <w:rPr>
          <w:rFonts w:cs="Arial"/>
          <w:szCs w:val="24"/>
        </w:rPr>
        <w:t>Summary of relevant projects funded</w:t>
      </w:r>
      <w:bookmarkEnd w:id="28"/>
      <w:bookmarkEnd w:id="29"/>
    </w:p>
    <w:p w14:paraId="5320A316" w14:textId="77777777" w:rsidR="00A22C73" w:rsidRPr="002A111A" w:rsidRDefault="00A22C73" w:rsidP="00B446F1">
      <w:pPr>
        <w:ind w:left="567" w:hanging="567"/>
        <w:rPr>
          <w:rFonts w:cs="Arial"/>
          <w:szCs w:val="24"/>
        </w:rPr>
      </w:pPr>
    </w:p>
    <w:p w14:paraId="2A1FE19B" w14:textId="5E56E87A" w:rsidR="00B5485B" w:rsidRPr="002A111A" w:rsidRDefault="00020F79" w:rsidP="00A22C73">
      <w:r w:rsidRPr="002A111A">
        <w:t xml:space="preserve">To our knowledge, there are no relevant </w:t>
      </w:r>
      <w:r w:rsidR="007C7165" w:rsidRPr="002A111A">
        <w:t xml:space="preserve">EU </w:t>
      </w:r>
      <w:r w:rsidRPr="002A111A">
        <w:t xml:space="preserve">funded </w:t>
      </w:r>
      <w:r w:rsidR="008B6ABF" w:rsidRPr="002A111A">
        <w:t xml:space="preserve">projects </w:t>
      </w:r>
      <w:r w:rsidRPr="002A111A">
        <w:t>on promoting transitions from institutions to community living for people with disabilities</w:t>
      </w:r>
      <w:r w:rsidR="00B5485B" w:rsidRPr="002A111A">
        <w:t>–</w:t>
      </w:r>
      <w:r w:rsidR="00F310B2" w:rsidRPr="002A111A">
        <w:t xml:space="preserve"> The projects are focused on promoting social inclusion of disadvantaged population (</w:t>
      </w:r>
      <w:r w:rsidR="00975549" w:rsidRPr="002A111A">
        <w:t>Roma, ex-</w:t>
      </w:r>
      <w:r w:rsidR="00F053C9" w:rsidRPr="002A111A">
        <w:t>prisoners</w:t>
      </w:r>
      <w:r w:rsidR="00A22C73" w:rsidRPr="002A111A">
        <w:t>).</w:t>
      </w:r>
      <w:r w:rsidR="00490DA3" w:rsidRPr="002A111A">
        <w:rPr>
          <w:rStyle w:val="FootnoteReference"/>
          <w:rFonts w:cs="Arial"/>
          <w:sz w:val="24"/>
          <w:szCs w:val="24"/>
        </w:rPr>
        <w:footnoteReference w:id="35"/>
      </w:r>
    </w:p>
    <w:p w14:paraId="25851439" w14:textId="77777777" w:rsidR="00DF3C6C" w:rsidRPr="002A111A" w:rsidRDefault="00DF3C6C" w:rsidP="00B446F1">
      <w:pPr>
        <w:ind w:left="567" w:hanging="567"/>
        <w:rPr>
          <w:rFonts w:cs="Arial"/>
          <w:szCs w:val="24"/>
        </w:rPr>
      </w:pPr>
    </w:p>
    <w:p w14:paraId="241EAF48" w14:textId="7B80B1E8" w:rsidR="00454AC4" w:rsidRPr="002A111A" w:rsidRDefault="00454AC4" w:rsidP="00A22C73">
      <w:r w:rsidRPr="002A111A">
        <w:t>Many projects in Spain are carried out by representative entities of people with disabilities as well as other vulnerable groups, thanks to the subsidies granted to 0.7</w:t>
      </w:r>
      <w:r w:rsidR="00A22C73" w:rsidRPr="002A111A">
        <w:t> </w:t>
      </w:r>
      <w:r w:rsidRPr="002A111A">
        <w:t>% of the IRPF</w:t>
      </w:r>
      <w:r w:rsidR="000C22F8" w:rsidRPr="002A111A">
        <w:t xml:space="preserve"> (Income Tax Physical Persons)</w:t>
      </w:r>
      <w:r w:rsidRPr="002A111A">
        <w:t>. These subsidies are intended to carry out programs to meet social interest purposes. For example, in the 2017 call the total number of beneficiary entities was 2,000, with 5,000 projects financed. Since the 2017 call, 20% of the funds go to eligible activities at the state level and 80</w:t>
      </w:r>
      <w:r w:rsidR="00A22C73" w:rsidRPr="002A111A">
        <w:t xml:space="preserve"> </w:t>
      </w:r>
      <w:r w:rsidRPr="002A111A">
        <w:t xml:space="preserve">% to the CCAA to subsidize social assistance programs. For example, for the 2018 call, there is a total of </w:t>
      </w:r>
      <w:r w:rsidR="00A22C73" w:rsidRPr="002A111A">
        <w:t>EUR</w:t>
      </w:r>
      <w:r w:rsidRPr="002A111A">
        <w:t xml:space="preserve"> 49,282,767 for state subsidies and </w:t>
      </w:r>
      <w:r w:rsidR="00A22C73" w:rsidRPr="002A111A">
        <w:t>EUR</w:t>
      </w:r>
      <w:r w:rsidRPr="002A111A">
        <w:t xml:space="preserve"> 202,688,592.66 for regional grants. In February 2018 the resolution of the call corresponding to the IRPF of 2017 was published. This resolution includes aid for programs of dissemination, awareness and empowerment of people with comprehensive health care needs and grants have been granted for associations of people with physical disabilities, intellectual disabilities, guardianship foundations. There are also programs to attend to these groups or to </w:t>
      </w:r>
      <w:r w:rsidRPr="002A111A">
        <w:lastRenderedPageBreak/>
        <w:t xml:space="preserve">carry out investigations in this regard. Half of the state actions receive amounts of less than </w:t>
      </w:r>
      <w:r w:rsidR="00A22C73" w:rsidRPr="002A111A">
        <w:t xml:space="preserve">EUR </w:t>
      </w:r>
      <w:r w:rsidRPr="002A111A">
        <w:t xml:space="preserve">40,000 </w:t>
      </w:r>
      <w:r w:rsidR="00F053C9" w:rsidRPr="002A111A">
        <w:t>with</w:t>
      </w:r>
      <w:r w:rsidRPr="002A111A">
        <w:t xml:space="preserve"> 12</w:t>
      </w:r>
      <w:r w:rsidR="00A22C73" w:rsidRPr="002A111A">
        <w:t xml:space="preserve"> </w:t>
      </w:r>
      <w:r w:rsidRPr="002A111A">
        <w:t>% of regional projects receiv</w:t>
      </w:r>
      <w:r w:rsidR="00F053C9" w:rsidRPr="002A111A">
        <w:t>ing</w:t>
      </w:r>
      <w:r w:rsidRPr="002A111A">
        <w:t xml:space="preserve"> amounts of less than </w:t>
      </w:r>
      <w:r w:rsidR="00A22C73" w:rsidRPr="002A111A">
        <w:t>EUR </w:t>
      </w:r>
      <w:r w:rsidRPr="002A111A">
        <w:t>10,000</w:t>
      </w:r>
      <w:r w:rsidR="000C22F8" w:rsidRPr="002A111A">
        <w:t>. The Table below includes some of the projects funded by the Spanish government throughout the subsidies granted to 0.7</w:t>
      </w:r>
      <w:r w:rsidR="00A22C73" w:rsidRPr="002A111A">
        <w:t xml:space="preserve"> </w:t>
      </w:r>
      <w:r w:rsidR="000C22F8" w:rsidRPr="002A111A">
        <w:t>% of the IRPF.</w:t>
      </w:r>
    </w:p>
    <w:p w14:paraId="48372AEF" w14:textId="77777777" w:rsidR="0028345E" w:rsidRPr="002A111A" w:rsidRDefault="00A75929" w:rsidP="00B446F1">
      <w:pPr>
        <w:ind w:left="567" w:hanging="567"/>
        <w:rPr>
          <w:rFonts w:cs="Arial"/>
          <w:szCs w:val="24"/>
        </w:rPr>
      </w:pPr>
      <w:r w:rsidRPr="002A111A">
        <w:rPr>
          <w:rFonts w:cs="Arial"/>
          <w:szCs w:val="24"/>
        </w:rPr>
        <w:tab/>
      </w:r>
    </w:p>
    <w:tbl>
      <w:tblPr>
        <w:tblStyle w:val="TableGrid"/>
        <w:tblW w:w="9209" w:type="dxa"/>
        <w:tblLook w:val="04A0" w:firstRow="1" w:lastRow="0" w:firstColumn="1" w:lastColumn="0" w:noHBand="0" w:noVBand="1"/>
      </w:tblPr>
      <w:tblGrid>
        <w:gridCol w:w="4077"/>
        <w:gridCol w:w="3658"/>
        <w:gridCol w:w="1474"/>
      </w:tblGrid>
      <w:tr w:rsidR="0028345E" w:rsidRPr="002A111A" w14:paraId="68C15B8C" w14:textId="77777777" w:rsidTr="00A22C73">
        <w:tc>
          <w:tcPr>
            <w:tcW w:w="4077" w:type="dxa"/>
            <w:tcBorders>
              <w:top w:val="single" w:sz="4" w:space="0" w:color="auto"/>
              <w:left w:val="single" w:sz="4" w:space="0" w:color="auto"/>
              <w:bottom w:val="single" w:sz="4" w:space="0" w:color="auto"/>
              <w:right w:val="single" w:sz="4" w:space="0" w:color="auto"/>
            </w:tcBorders>
            <w:hideMark/>
          </w:tcPr>
          <w:p w14:paraId="0776DB22" w14:textId="77777777" w:rsidR="0028345E" w:rsidRPr="002A111A" w:rsidRDefault="0028345E" w:rsidP="00A22C73">
            <w:pPr>
              <w:jc w:val="left"/>
              <w:rPr>
                <w:rFonts w:cs="Arial"/>
                <w:b/>
                <w:sz w:val="22"/>
                <w:szCs w:val="24"/>
              </w:rPr>
            </w:pPr>
            <w:r w:rsidRPr="002A111A">
              <w:rPr>
                <w:rFonts w:cs="Arial"/>
                <w:b/>
                <w:sz w:val="22"/>
                <w:szCs w:val="24"/>
              </w:rPr>
              <w:t>Entity</w:t>
            </w:r>
          </w:p>
        </w:tc>
        <w:tc>
          <w:tcPr>
            <w:tcW w:w="0" w:type="auto"/>
            <w:tcBorders>
              <w:top w:val="single" w:sz="4" w:space="0" w:color="auto"/>
              <w:left w:val="single" w:sz="4" w:space="0" w:color="auto"/>
              <w:bottom w:val="single" w:sz="4" w:space="0" w:color="auto"/>
              <w:right w:val="single" w:sz="4" w:space="0" w:color="auto"/>
            </w:tcBorders>
            <w:hideMark/>
          </w:tcPr>
          <w:p w14:paraId="75C165B0" w14:textId="77777777" w:rsidR="0028345E" w:rsidRPr="002A111A" w:rsidRDefault="0028345E" w:rsidP="00A22C73">
            <w:pPr>
              <w:jc w:val="left"/>
              <w:rPr>
                <w:rFonts w:cs="Arial"/>
                <w:b/>
                <w:sz w:val="22"/>
                <w:szCs w:val="24"/>
              </w:rPr>
            </w:pPr>
            <w:r w:rsidRPr="002A111A">
              <w:rPr>
                <w:rFonts w:cs="Arial"/>
                <w:b/>
                <w:sz w:val="22"/>
                <w:szCs w:val="24"/>
              </w:rPr>
              <w:t>Program</w:t>
            </w:r>
          </w:p>
        </w:tc>
        <w:tc>
          <w:tcPr>
            <w:tcW w:w="1474" w:type="dxa"/>
            <w:tcBorders>
              <w:top w:val="single" w:sz="4" w:space="0" w:color="auto"/>
              <w:left w:val="single" w:sz="4" w:space="0" w:color="auto"/>
              <w:bottom w:val="single" w:sz="4" w:space="0" w:color="auto"/>
              <w:right w:val="single" w:sz="4" w:space="0" w:color="auto"/>
            </w:tcBorders>
            <w:hideMark/>
          </w:tcPr>
          <w:p w14:paraId="176715F0" w14:textId="77777777" w:rsidR="0028345E" w:rsidRPr="002A111A" w:rsidRDefault="0028345E" w:rsidP="00A22C73">
            <w:pPr>
              <w:jc w:val="right"/>
              <w:rPr>
                <w:rFonts w:cs="Arial"/>
                <w:b/>
                <w:sz w:val="22"/>
                <w:szCs w:val="24"/>
              </w:rPr>
            </w:pPr>
            <w:r w:rsidRPr="002A111A">
              <w:rPr>
                <w:rFonts w:cs="Arial"/>
                <w:b/>
                <w:sz w:val="22"/>
                <w:szCs w:val="24"/>
              </w:rPr>
              <w:t>Amount</w:t>
            </w:r>
          </w:p>
        </w:tc>
      </w:tr>
      <w:tr w:rsidR="0028345E" w:rsidRPr="002A111A" w14:paraId="2306D4B7" w14:textId="77777777" w:rsidTr="00A22C73">
        <w:tc>
          <w:tcPr>
            <w:tcW w:w="4077" w:type="dxa"/>
            <w:tcBorders>
              <w:top w:val="single" w:sz="4" w:space="0" w:color="auto"/>
              <w:left w:val="single" w:sz="4" w:space="0" w:color="auto"/>
              <w:bottom w:val="single" w:sz="4" w:space="0" w:color="auto"/>
              <w:right w:val="single" w:sz="4" w:space="0" w:color="auto"/>
            </w:tcBorders>
            <w:hideMark/>
          </w:tcPr>
          <w:p w14:paraId="5CE1EF03" w14:textId="77777777" w:rsidR="0028345E" w:rsidRPr="002A111A" w:rsidRDefault="0028345E" w:rsidP="00A22C73">
            <w:pPr>
              <w:jc w:val="left"/>
              <w:rPr>
                <w:rFonts w:cs="Arial"/>
                <w:sz w:val="22"/>
                <w:szCs w:val="24"/>
                <w:shd w:val="clear" w:color="auto" w:fill="FFFFFF"/>
                <w:lang w:eastAsia="es-ES"/>
              </w:rPr>
            </w:pPr>
            <w:proofErr w:type="spellStart"/>
            <w:r w:rsidRPr="002A111A">
              <w:rPr>
                <w:rFonts w:cs="Arial"/>
                <w:sz w:val="22"/>
                <w:szCs w:val="24"/>
              </w:rPr>
              <w:t>Fundacion</w:t>
            </w:r>
            <w:proofErr w:type="spellEnd"/>
            <w:r w:rsidRPr="002A111A">
              <w:rPr>
                <w:rFonts w:cs="Arial"/>
                <w:sz w:val="22"/>
                <w:szCs w:val="24"/>
              </w:rPr>
              <w:t xml:space="preserve"> Cruz Blanca</w:t>
            </w:r>
          </w:p>
        </w:tc>
        <w:tc>
          <w:tcPr>
            <w:tcW w:w="0" w:type="auto"/>
            <w:tcBorders>
              <w:top w:val="single" w:sz="4" w:space="0" w:color="auto"/>
              <w:left w:val="single" w:sz="4" w:space="0" w:color="auto"/>
              <w:bottom w:val="single" w:sz="4" w:space="0" w:color="auto"/>
              <w:right w:val="single" w:sz="4" w:space="0" w:color="auto"/>
            </w:tcBorders>
            <w:hideMark/>
          </w:tcPr>
          <w:p w14:paraId="629B282B" w14:textId="77777777" w:rsidR="0028345E" w:rsidRPr="002A111A" w:rsidRDefault="0028345E" w:rsidP="00A22C73">
            <w:pPr>
              <w:jc w:val="left"/>
              <w:rPr>
                <w:rFonts w:cs="Arial"/>
                <w:sz w:val="22"/>
                <w:szCs w:val="24"/>
                <w:shd w:val="clear" w:color="auto" w:fill="FFFFFF"/>
                <w:lang w:eastAsia="es-ES"/>
              </w:rPr>
            </w:pPr>
            <w:r w:rsidRPr="002A111A">
              <w:rPr>
                <w:rFonts w:cs="Arial"/>
                <w:sz w:val="22"/>
                <w:szCs w:val="24"/>
              </w:rPr>
              <w:t>“We are”. Society awareness and empowerment program for dependent, elderly and disabled people)</w:t>
            </w:r>
          </w:p>
        </w:tc>
        <w:tc>
          <w:tcPr>
            <w:tcW w:w="1474" w:type="dxa"/>
            <w:tcBorders>
              <w:top w:val="single" w:sz="4" w:space="0" w:color="auto"/>
              <w:left w:val="single" w:sz="4" w:space="0" w:color="auto"/>
              <w:bottom w:val="single" w:sz="4" w:space="0" w:color="auto"/>
              <w:right w:val="single" w:sz="4" w:space="0" w:color="auto"/>
            </w:tcBorders>
            <w:hideMark/>
          </w:tcPr>
          <w:p w14:paraId="7560F0E7" w14:textId="77777777" w:rsidR="0028345E" w:rsidRPr="002A111A" w:rsidRDefault="0028345E" w:rsidP="00A22C73">
            <w:pPr>
              <w:jc w:val="right"/>
              <w:rPr>
                <w:rFonts w:cs="Arial"/>
                <w:sz w:val="22"/>
                <w:szCs w:val="24"/>
                <w:shd w:val="clear" w:color="auto" w:fill="FFFFFF"/>
                <w:lang w:eastAsia="es-ES"/>
              </w:rPr>
            </w:pPr>
            <w:r w:rsidRPr="002A111A">
              <w:rPr>
                <w:rFonts w:cs="Arial"/>
                <w:sz w:val="22"/>
                <w:szCs w:val="24"/>
              </w:rPr>
              <w:t>8.000,00</w:t>
            </w:r>
          </w:p>
        </w:tc>
      </w:tr>
      <w:tr w:rsidR="0028345E" w:rsidRPr="002A111A" w14:paraId="2BE162D7" w14:textId="77777777" w:rsidTr="00A22C73">
        <w:tc>
          <w:tcPr>
            <w:tcW w:w="4077" w:type="dxa"/>
            <w:tcBorders>
              <w:top w:val="single" w:sz="4" w:space="0" w:color="auto"/>
              <w:left w:val="single" w:sz="4" w:space="0" w:color="auto"/>
              <w:bottom w:val="single" w:sz="4" w:space="0" w:color="auto"/>
              <w:right w:val="single" w:sz="4" w:space="0" w:color="auto"/>
            </w:tcBorders>
            <w:hideMark/>
          </w:tcPr>
          <w:p w14:paraId="581B41A0" w14:textId="2B3230AE" w:rsidR="0028345E" w:rsidRPr="002A111A" w:rsidRDefault="0028345E" w:rsidP="00A22C73">
            <w:pPr>
              <w:autoSpaceDE w:val="0"/>
              <w:autoSpaceDN w:val="0"/>
              <w:adjustRightInd w:val="0"/>
              <w:jc w:val="left"/>
              <w:rPr>
                <w:rFonts w:cs="Arial"/>
                <w:sz w:val="22"/>
                <w:szCs w:val="24"/>
              </w:rPr>
            </w:pPr>
            <w:proofErr w:type="spellStart"/>
            <w:r w:rsidRPr="002A111A">
              <w:rPr>
                <w:rFonts w:cs="Arial"/>
                <w:sz w:val="22"/>
                <w:szCs w:val="24"/>
              </w:rPr>
              <w:t>Confederacion</w:t>
            </w:r>
            <w:proofErr w:type="spellEnd"/>
            <w:r w:rsidRPr="002A111A">
              <w:rPr>
                <w:rFonts w:cs="Arial"/>
                <w:sz w:val="22"/>
                <w:szCs w:val="24"/>
              </w:rPr>
              <w:t xml:space="preserve"> Plena </w:t>
            </w:r>
            <w:proofErr w:type="spellStart"/>
            <w:r w:rsidRPr="002A111A">
              <w:rPr>
                <w:rFonts w:cs="Arial"/>
                <w:sz w:val="22"/>
                <w:szCs w:val="24"/>
              </w:rPr>
              <w:t>Inclusión</w:t>
            </w:r>
            <w:proofErr w:type="spellEnd"/>
            <w:r w:rsidRPr="002A111A">
              <w:rPr>
                <w:rFonts w:cs="Arial"/>
                <w:sz w:val="22"/>
                <w:szCs w:val="24"/>
              </w:rPr>
              <w:t xml:space="preserve"> </w:t>
            </w:r>
            <w:proofErr w:type="spellStart"/>
            <w:r w:rsidRPr="002A111A">
              <w:rPr>
                <w:rFonts w:cs="Arial"/>
                <w:sz w:val="22"/>
                <w:szCs w:val="24"/>
              </w:rPr>
              <w:t>España</w:t>
            </w:r>
            <w:proofErr w:type="spellEnd"/>
            <w:r w:rsidRPr="002A111A">
              <w:rPr>
                <w:rFonts w:cs="Arial"/>
                <w:sz w:val="22"/>
                <w:szCs w:val="24"/>
              </w:rPr>
              <w:t xml:space="preserve"> Full Inclusion Confederation - Spain</w:t>
            </w:r>
          </w:p>
        </w:tc>
        <w:tc>
          <w:tcPr>
            <w:tcW w:w="0" w:type="auto"/>
            <w:tcBorders>
              <w:top w:val="single" w:sz="4" w:space="0" w:color="auto"/>
              <w:left w:val="single" w:sz="4" w:space="0" w:color="auto"/>
              <w:bottom w:val="single" w:sz="4" w:space="0" w:color="auto"/>
              <w:right w:val="single" w:sz="4" w:space="0" w:color="auto"/>
            </w:tcBorders>
            <w:hideMark/>
          </w:tcPr>
          <w:p w14:paraId="3E6675F1" w14:textId="55392D43" w:rsidR="0028345E" w:rsidRPr="002A111A" w:rsidRDefault="0028345E" w:rsidP="002A111A">
            <w:pPr>
              <w:autoSpaceDE w:val="0"/>
              <w:autoSpaceDN w:val="0"/>
              <w:adjustRightInd w:val="0"/>
              <w:jc w:val="left"/>
              <w:rPr>
                <w:rFonts w:cs="Arial"/>
                <w:sz w:val="22"/>
                <w:szCs w:val="24"/>
              </w:rPr>
            </w:pPr>
            <w:r w:rsidRPr="002A111A">
              <w:rPr>
                <w:rFonts w:cs="Arial"/>
                <w:sz w:val="22"/>
                <w:szCs w:val="24"/>
              </w:rPr>
              <w:t xml:space="preserve">Social awareness and empowerment </w:t>
            </w:r>
            <w:r w:rsidR="00F053C9" w:rsidRPr="002A111A">
              <w:rPr>
                <w:rFonts w:cs="Arial"/>
                <w:sz w:val="22"/>
                <w:szCs w:val="24"/>
              </w:rPr>
              <w:t xml:space="preserve">for </w:t>
            </w:r>
            <w:r w:rsidRPr="002A111A">
              <w:rPr>
                <w:rFonts w:cs="Arial"/>
                <w:sz w:val="22"/>
                <w:szCs w:val="24"/>
              </w:rPr>
              <w:t>the rights of people with</w:t>
            </w:r>
            <w:r w:rsidR="002A111A" w:rsidRPr="002A111A">
              <w:rPr>
                <w:rFonts w:cs="Arial"/>
                <w:sz w:val="22"/>
                <w:szCs w:val="24"/>
              </w:rPr>
              <w:t xml:space="preserve"> Intellectual</w:t>
            </w:r>
            <w:r w:rsidRPr="002A111A">
              <w:rPr>
                <w:rFonts w:cs="Arial"/>
                <w:sz w:val="22"/>
                <w:szCs w:val="24"/>
              </w:rPr>
              <w:t xml:space="preserve"> or developmental disability</w:t>
            </w:r>
          </w:p>
        </w:tc>
        <w:tc>
          <w:tcPr>
            <w:tcW w:w="1474" w:type="dxa"/>
            <w:tcBorders>
              <w:top w:val="single" w:sz="4" w:space="0" w:color="auto"/>
              <w:left w:val="single" w:sz="4" w:space="0" w:color="auto"/>
              <w:bottom w:val="single" w:sz="4" w:space="0" w:color="auto"/>
              <w:right w:val="single" w:sz="4" w:space="0" w:color="auto"/>
            </w:tcBorders>
            <w:hideMark/>
          </w:tcPr>
          <w:p w14:paraId="7BC767AD" w14:textId="77777777" w:rsidR="0028345E" w:rsidRPr="002A111A" w:rsidRDefault="0028345E" w:rsidP="00A22C73">
            <w:pPr>
              <w:jc w:val="right"/>
              <w:rPr>
                <w:rFonts w:cs="Arial"/>
                <w:sz w:val="22"/>
                <w:szCs w:val="24"/>
                <w:shd w:val="clear" w:color="auto" w:fill="FFFFFF"/>
                <w:lang w:eastAsia="es-ES"/>
              </w:rPr>
            </w:pPr>
            <w:r w:rsidRPr="002A111A">
              <w:rPr>
                <w:rFonts w:cs="Arial"/>
                <w:sz w:val="22"/>
                <w:szCs w:val="24"/>
              </w:rPr>
              <w:t>125.000,00</w:t>
            </w:r>
          </w:p>
        </w:tc>
      </w:tr>
      <w:tr w:rsidR="0028345E" w:rsidRPr="002A111A" w14:paraId="1B9FED27" w14:textId="77777777" w:rsidTr="00A22C73">
        <w:tc>
          <w:tcPr>
            <w:tcW w:w="4077" w:type="dxa"/>
            <w:tcBorders>
              <w:top w:val="single" w:sz="4" w:space="0" w:color="auto"/>
              <w:left w:val="single" w:sz="4" w:space="0" w:color="auto"/>
              <w:bottom w:val="single" w:sz="4" w:space="0" w:color="auto"/>
              <w:right w:val="single" w:sz="4" w:space="0" w:color="auto"/>
            </w:tcBorders>
            <w:hideMark/>
          </w:tcPr>
          <w:p w14:paraId="0099A9DA" w14:textId="7B4D8D5B" w:rsidR="0028345E" w:rsidRPr="002A111A" w:rsidRDefault="0028345E" w:rsidP="00A22C73">
            <w:pPr>
              <w:jc w:val="left"/>
              <w:rPr>
                <w:rFonts w:cs="Arial"/>
                <w:sz w:val="22"/>
                <w:szCs w:val="24"/>
                <w:shd w:val="clear" w:color="auto" w:fill="FFFFFF"/>
                <w:lang w:eastAsia="es-ES"/>
              </w:rPr>
            </w:pPr>
            <w:r w:rsidRPr="002A111A">
              <w:rPr>
                <w:rFonts w:cs="Arial"/>
                <w:sz w:val="22"/>
                <w:szCs w:val="24"/>
              </w:rPr>
              <w:t>CNSE-</w:t>
            </w:r>
            <w:proofErr w:type="spellStart"/>
            <w:r w:rsidRPr="002A111A">
              <w:rPr>
                <w:rFonts w:cs="Arial"/>
                <w:sz w:val="22"/>
                <w:szCs w:val="24"/>
              </w:rPr>
              <w:t>Confederacion</w:t>
            </w:r>
            <w:proofErr w:type="spellEnd"/>
            <w:r w:rsidRPr="002A111A">
              <w:rPr>
                <w:rFonts w:cs="Arial"/>
                <w:sz w:val="22"/>
                <w:szCs w:val="24"/>
              </w:rPr>
              <w:t xml:space="preserve"> </w:t>
            </w:r>
            <w:proofErr w:type="spellStart"/>
            <w:r w:rsidRPr="002A111A">
              <w:rPr>
                <w:rFonts w:cs="Arial"/>
                <w:sz w:val="22"/>
                <w:szCs w:val="24"/>
              </w:rPr>
              <w:t>Estatal</w:t>
            </w:r>
            <w:proofErr w:type="spellEnd"/>
            <w:r w:rsidRPr="002A111A">
              <w:rPr>
                <w:rFonts w:cs="Arial"/>
                <w:sz w:val="22"/>
                <w:szCs w:val="24"/>
              </w:rPr>
              <w:t xml:space="preserve"> De Personas </w:t>
            </w:r>
            <w:proofErr w:type="spellStart"/>
            <w:r w:rsidRPr="002A111A">
              <w:rPr>
                <w:rFonts w:cs="Arial"/>
                <w:sz w:val="22"/>
                <w:szCs w:val="24"/>
              </w:rPr>
              <w:t>Sordas</w:t>
            </w:r>
            <w:proofErr w:type="spellEnd"/>
            <w:r w:rsidRPr="002A111A">
              <w:rPr>
                <w:rFonts w:cs="Arial"/>
                <w:sz w:val="22"/>
                <w:szCs w:val="24"/>
              </w:rPr>
              <w:t xml:space="preserve"> CNSE-State Confederation of Deaf People</w:t>
            </w:r>
          </w:p>
        </w:tc>
        <w:tc>
          <w:tcPr>
            <w:tcW w:w="0" w:type="auto"/>
            <w:tcBorders>
              <w:top w:val="single" w:sz="4" w:space="0" w:color="auto"/>
              <w:left w:val="single" w:sz="4" w:space="0" w:color="auto"/>
              <w:bottom w:val="single" w:sz="4" w:space="0" w:color="auto"/>
              <w:right w:val="single" w:sz="4" w:space="0" w:color="auto"/>
            </w:tcBorders>
            <w:hideMark/>
          </w:tcPr>
          <w:p w14:paraId="2215B836" w14:textId="77777777" w:rsidR="0028345E" w:rsidRPr="002A111A" w:rsidRDefault="0028345E" w:rsidP="00A22C73">
            <w:pPr>
              <w:jc w:val="left"/>
              <w:rPr>
                <w:rFonts w:cs="Arial"/>
                <w:sz w:val="22"/>
                <w:szCs w:val="24"/>
                <w:shd w:val="clear" w:color="auto" w:fill="FFFFFF"/>
                <w:lang w:eastAsia="es-ES"/>
              </w:rPr>
            </w:pPr>
            <w:proofErr w:type="spellStart"/>
            <w:r w:rsidRPr="002A111A">
              <w:rPr>
                <w:rFonts w:cs="Arial"/>
                <w:sz w:val="22"/>
                <w:szCs w:val="24"/>
              </w:rPr>
              <w:t>Vidasor</w:t>
            </w:r>
            <w:proofErr w:type="spellEnd"/>
            <w:r w:rsidRPr="002A111A">
              <w:rPr>
                <w:rFonts w:cs="Arial"/>
                <w:sz w:val="22"/>
                <w:szCs w:val="24"/>
              </w:rPr>
              <w:t xml:space="preserve">- Video Assistance and Accompaniment Service for Deaf Seniors </w:t>
            </w:r>
          </w:p>
        </w:tc>
        <w:tc>
          <w:tcPr>
            <w:tcW w:w="1474" w:type="dxa"/>
            <w:tcBorders>
              <w:top w:val="single" w:sz="4" w:space="0" w:color="auto"/>
              <w:left w:val="single" w:sz="4" w:space="0" w:color="auto"/>
              <w:bottom w:val="single" w:sz="4" w:space="0" w:color="auto"/>
              <w:right w:val="single" w:sz="4" w:space="0" w:color="auto"/>
            </w:tcBorders>
            <w:hideMark/>
          </w:tcPr>
          <w:p w14:paraId="3648A2F2" w14:textId="77777777" w:rsidR="0028345E" w:rsidRPr="002A111A" w:rsidRDefault="0028345E" w:rsidP="00A22C73">
            <w:pPr>
              <w:jc w:val="right"/>
              <w:rPr>
                <w:rFonts w:cs="Arial"/>
                <w:sz w:val="22"/>
                <w:szCs w:val="24"/>
                <w:shd w:val="clear" w:color="auto" w:fill="FFFFFF"/>
                <w:lang w:eastAsia="es-ES"/>
              </w:rPr>
            </w:pPr>
            <w:r w:rsidRPr="002A111A">
              <w:rPr>
                <w:rFonts w:cs="Arial"/>
                <w:sz w:val="22"/>
                <w:szCs w:val="24"/>
              </w:rPr>
              <w:t>30.374,00</w:t>
            </w:r>
          </w:p>
        </w:tc>
      </w:tr>
      <w:tr w:rsidR="0028345E" w:rsidRPr="002A111A" w14:paraId="0FAF0774" w14:textId="77777777" w:rsidTr="00A22C73">
        <w:tc>
          <w:tcPr>
            <w:tcW w:w="4077" w:type="dxa"/>
            <w:tcBorders>
              <w:top w:val="single" w:sz="4" w:space="0" w:color="auto"/>
              <w:left w:val="single" w:sz="4" w:space="0" w:color="auto"/>
              <w:bottom w:val="single" w:sz="4" w:space="0" w:color="auto"/>
              <w:right w:val="single" w:sz="4" w:space="0" w:color="auto"/>
            </w:tcBorders>
            <w:hideMark/>
          </w:tcPr>
          <w:p w14:paraId="6159BB0C" w14:textId="724A3A51" w:rsidR="0028345E" w:rsidRPr="002A111A" w:rsidRDefault="0028345E" w:rsidP="00A22C73">
            <w:pPr>
              <w:jc w:val="left"/>
              <w:rPr>
                <w:rFonts w:cs="Arial"/>
                <w:sz w:val="22"/>
                <w:szCs w:val="24"/>
              </w:rPr>
            </w:pPr>
            <w:proofErr w:type="spellStart"/>
            <w:r w:rsidRPr="002A111A">
              <w:rPr>
                <w:rFonts w:cs="Arial"/>
                <w:sz w:val="22"/>
                <w:szCs w:val="24"/>
              </w:rPr>
              <w:t>Federacion</w:t>
            </w:r>
            <w:proofErr w:type="spellEnd"/>
            <w:r w:rsidRPr="002A111A">
              <w:rPr>
                <w:rFonts w:cs="Arial"/>
                <w:sz w:val="22"/>
                <w:szCs w:val="24"/>
              </w:rPr>
              <w:t xml:space="preserve"> Nacional </w:t>
            </w:r>
            <w:proofErr w:type="spellStart"/>
            <w:r w:rsidRPr="002A111A">
              <w:rPr>
                <w:rFonts w:cs="Arial"/>
                <w:sz w:val="22"/>
                <w:szCs w:val="24"/>
              </w:rPr>
              <w:t>Aspaym</w:t>
            </w:r>
            <w:proofErr w:type="spellEnd"/>
            <w:r w:rsidR="00661539" w:rsidRPr="002A111A">
              <w:rPr>
                <w:rFonts w:eastAsia="HiddenHorzOCR" w:cs="Arial"/>
                <w:sz w:val="22"/>
                <w:szCs w:val="24"/>
              </w:rPr>
              <w:t xml:space="preserve"> </w:t>
            </w:r>
            <w:r w:rsidRPr="002A111A">
              <w:rPr>
                <w:rFonts w:cs="Arial"/>
                <w:sz w:val="22"/>
                <w:szCs w:val="24"/>
              </w:rPr>
              <w:t>(</w:t>
            </w:r>
            <w:proofErr w:type="spellStart"/>
            <w:r w:rsidRPr="002A111A">
              <w:rPr>
                <w:rFonts w:cs="Arial"/>
                <w:sz w:val="22"/>
                <w:szCs w:val="24"/>
              </w:rPr>
              <w:t>Asociación</w:t>
            </w:r>
            <w:proofErr w:type="spellEnd"/>
            <w:r w:rsidRPr="002A111A">
              <w:rPr>
                <w:rFonts w:cs="Arial"/>
                <w:sz w:val="22"/>
                <w:szCs w:val="24"/>
              </w:rPr>
              <w:t xml:space="preserve"> De </w:t>
            </w:r>
            <w:proofErr w:type="spellStart"/>
            <w:r w:rsidRPr="002A111A">
              <w:rPr>
                <w:rFonts w:cs="Arial"/>
                <w:sz w:val="22"/>
                <w:szCs w:val="24"/>
              </w:rPr>
              <w:t>Paraplejicos</w:t>
            </w:r>
            <w:proofErr w:type="spellEnd"/>
            <w:r w:rsidRPr="002A111A">
              <w:rPr>
                <w:rFonts w:cs="Arial"/>
                <w:sz w:val="22"/>
                <w:szCs w:val="24"/>
              </w:rPr>
              <w:t xml:space="preserve"> Y Grandes </w:t>
            </w:r>
            <w:proofErr w:type="spellStart"/>
            <w:r w:rsidRPr="002A111A">
              <w:rPr>
                <w:rFonts w:cs="Arial"/>
                <w:sz w:val="22"/>
                <w:szCs w:val="24"/>
              </w:rPr>
              <w:t>Discapacitados</w:t>
            </w:r>
            <w:proofErr w:type="spellEnd"/>
            <w:r w:rsidRPr="002A111A">
              <w:rPr>
                <w:rFonts w:cs="Arial"/>
                <w:sz w:val="22"/>
                <w:szCs w:val="24"/>
              </w:rPr>
              <w:t xml:space="preserve"> </w:t>
            </w:r>
            <w:proofErr w:type="spellStart"/>
            <w:r w:rsidRPr="002A111A">
              <w:rPr>
                <w:rFonts w:cs="Arial"/>
                <w:sz w:val="22"/>
                <w:szCs w:val="24"/>
              </w:rPr>
              <w:t>Fisicos</w:t>
            </w:r>
            <w:proofErr w:type="spellEnd"/>
            <w:r w:rsidRPr="002A111A">
              <w:rPr>
                <w:rFonts w:cs="Arial"/>
                <w:sz w:val="22"/>
                <w:szCs w:val="24"/>
              </w:rPr>
              <w:t>) Association for People with Spinal Cord Injury (ASPAYM)</w:t>
            </w:r>
          </w:p>
        </w:tc>
        <w:tc>
          <w:tcPr>
            <w:tcW w:w="0" w:type="auto"/>
            <w:tcBorders>
              <w:top w:val="single" w:sz="4" w:space="0" w:color="auto"/>
              <w:left w:val="single" w:sz="4" w:space="0" w:color="auto"/>
              <w:bottom w:val="single" w:sz="4" w:space="0" w:color="auto"/>
              <w:right w:val="single" w:sz="4" w:space="0" w:color="auto"/>
            </w:tcBorders>
            <w:hideMark/>
          </w:tcPr>
          <w:p w14:paraId="4A6998F2" w14:textId="77777777" w:rsidR="0028345E" w:rsidRPr="002A111A" w:rsidRDefault="0028345E" w:rsidP="00A22C73">
            <w:pPr>
              <w:jc w:val="left"/>
              <w:rPr>
                <w:rFonts w:cs="Arial"/>
                <w:sz w:val="22"/>
                <w:szCs w:val="24"/>
                <w:shd w:val="clear" w:color="auto" w:fill="FFFFFF"/>
                <w:lang w:eastAsia="es-ES"/>
              </w:rPr>
            </w:pPr>
            <w:r w:rsidRPr="002A111A">
              <w:rPr>
                <w:rFonts w:cs="Arial"/>
                <w:sz w:val="22"/>
                <w:szCs w:val="24"/>
              </w:rPr>
              <w:t xml:space="preserve">Digital Platform for Affordable Housing Management throughout the National Territory </w:t>
            </w:r>
          </w:p>
        </w:tc>
        <w:tc>
          <w:tcPr>
            <w:tcW w:w="1474" w:type="dxa"/>
            <w:tcBorders>
              <w:top w:val="single" w:sz="4" w:space="0" w:color="auto"/>
              <w:left w:val="single" w:sz="4" w:space="0" w:color="auto"/>
              <w:bottom w:val="single" w:sz="4" w:space="0" w:color="auto"/>
              <w:right w:val="single" w:sz="4" w:space="0" w:color="auto"/>
            </w:tcBorders>
            <w:hideMark/>
          </w:tcPr>
          <w:p w14:paraId="501D50BB" w14:textId="77777777" w:rsidR="0028345E" w:rsidRPr="002A111A" w:rsidRDefault="0028345E" w:rsidP="00A22C73">
            <w:pPr>
              <w:jc w:val="right"/>
              <w:rPr>
                <w:rFonts w:cs="Arial"/>
                <w:sz w:val="22"/>
                <w:szCs w:val="24"/>
                <w:shd w:val="clear" w:color="auto" w:fill="FFFFFF"/>
                <w:lang w:eastAsia="es-ES"/>
              </w:rPr>
            </w:pPr>
            <w:r w:rsidRPr="002A111A">
              <w:rPr>
                <w:rFonts w:cs="Arial"/>
                <w:sz w:val="22"/>
                <w:szCs w:val="24"/>
              </w:rPr>
              <w:t>16.000,0</w:t>
            </w:r>
          </w:p>
        </w:tc>
      </w:tr>
      <w:tr w:rsidR="0028345E" w:rsidRPr="002A111A" w14:paraId="1E34838B" w14:textId="77777777" w:rsidTr="00A22C73">
        <w:tc>
          <w:tcPr>
            <w:tcW w:w="4077" w:type="dxa"/>
            <w:tcBorders>
              <w:top w:val="single" w:sz="4" w:space="0" w:color="auto"/>
              <w:left w:val="single" w:sz="4" w:space="0" w:color="auto"/>
              <w:bottom w:val="single" w:sz="4" w:space="0" w:color="auto"/>
              <w:right w:val="single" w:sz="4" w:space="0" w:color="auto"/>
            </w:tcBorders>
          </w:tcPr>
          <w:p w14:paraId="2ED8B2C9" w14:textId="30D11A2D" w:rsidR="0028345E" w:rsidRPr="002A111A" w:rsidRDefault="0028345E" w:rsidP="002A111A">
            <w:pPr>
              <w:jc w:val="left"/>
              <w:rPr>
                <w:rFonts w:cs="Arial"/>
                <w:sz w:val="22"/>
                <w:szCs w:val="24"/>
                <w:shd w:val="clear" w:color="auto" w:fill="FFFFFF"/>
                <w:lang w:eastAsia="es-ES"/>
              </w:rPr>
            </w:pPr>
            <w:proofErr w:type="spellStart"/>
            <w:r w:rsidRPr="002A111A">
              <w:rPr>
                <w:rFonts w:cs="Arial"/>
                <w:sz w:val="22"/>
                <w:szCs w:val="24"/>
              </w:rPr>
              <w:t>Federacion</w:t>
            </w:r>
            <w:proofErr w:type="spellEnd"/>
            <w:r w:rsidRPr="002A111A">
              <w:rPr>
                <w:rFonts w:cs="Arial"/>
                <w:sz w:val="22"/>
                <w:szCs w:val="24"/>
              </w:rPr>
              <w:t xml:space="preserve"> Nacional </w:t>
            </w:r>
            <w:proofErr w:type="spellStart"/>
            <w:r w:rsidRPr="002A111A">
              <w:rPr>
                <w:rFonts w:cs="Arial"/>
                <w:sz w:val="22"/>
                <w:szCs w:val="24"/>
              </w:rPr>
              <w:t>Aspaym</w:t>
            </w:r>
            <w:proofErr w:type="spellEnd"/>
            <w:r w:rsidR="00661539" w:rsidRPr="002A111A">
              <w:rPr>
                <w:rFonts w:eastAsia="HiddenHorzOCR" w:cs="Arial"/>
                <w:sz w:val="22"/>
                <w:szCs w:val="24"/>
              </w:rPr>
              <w:t xml:space="preserve"> </w:t>
            </w:r>
            <w:r w:rsidRPr="002A111A">
              <w:rPr>
                <w:rFonts w:cs="Arial"/>
                <w:sz w:val="22"/>
                <w:szCs w:val="24"/>
              </w:rPr>
              <w:t>(</w:t>
            </w:r>
            <w:proofErr w:type="spellStart"/>
            <w:r w:rsidRPr="002A111A">
              <w:rPr>
                <w:rFonts w:cs="Arial"/>
                <w:sz w:val="22"/>
                <w:szCs w:val="24"/>
              </w:rPr>
              <w:t>Asociación</w:t>
            </w:r>
            <w:proofErr w:type="spellEnd"/>
            <w:r w:rsidRPr="002A111A">
              <w:rPr>
                <w:rFonts w:cs="Arial"/>
                <w:sz w:val="22"/>
                <w:szCs w:val="24"/>
              </w:rPr>
              <w:t xml:space="preserve"> De </w:t>
            </w:r>
            <w:proofErr w:type="spellStart"/>
            <w:r w:rsidRPr="002A111A">
              <w:rPr>
                <w:rFonts w:cs="Arial"/>
                <w:sz w:val="22"/>
                <w:szCs w:val="24"/>
              </w:rPr>
              <w:t>Paraplejicos</w:t>
            </w:r>
            <w:proofErr w:type="spellEnd"/>
            <w:r w:rsidRPr="002A111A">
              <w:rPr>
                <w:rFonts w:cs="Arial"/>
                <w:sz w:val="22"/>
                <w:szCs w:val="24"/>
              </w:rPr>
              <w:t xml:space="preserve"> Y Grandes </w:t>
            </w:r>
            <w:proofErr w:type="spellStart"/>
            <w:r w:rsidRPr="002A111A">
              <w:rPr>
                <w:rFonts w:cs="Arial"/>
                <w:sz w:val="22"/>
                <w:szCs w:val="24"/>
              </w:rPr>
              <w:t>Discapacitados</w:t>
            </w:r>
            <w:proofErr w:type="spellEnd"/>
            <w:r w:rsidRPr="002A111A">
              <w:rPr>
                <w:rFonts w:cs="Arial"/>
                <w:sz w:val="22"/>
                <w:szCs w:val="24"/>
              </w:rPr>
              <w:t xml:space="preserve"> </w:t>
            </w:r>
            <w:proofErr w:type="spellStart"/>
            <w:r w:rsidRPr="002A111A">
              <w:rPr>
                <w:rFonts w:cs="Arial"/>
                <w:sz w:val="22"/>
                <w:szCs w:val="24"/>
              </w:rPr>
              <w:t>Fisicos</w:t>
            </w:r>
            <w:proofErr w:type="spellEnd"/>
            <w:r w:rsidRPr="002A111A">
              <w:rPr>
                <w:rFonts w:cs="Arial"/>
                <w:sz w:val="22"/>
                <w:szCs w:val="24"/>
              </w:rPr>
              <w:t>) Association for People with Spinal Cord Injury (ASPAYM)</w:t>
            </w:r>
          </w:p>
        </w:tc>
        <w:tc>
          <w:tcPr>
            <w:tcW w:w="0" w:type="auto"/>
            <w:tcBorders>
              <w:top w:val="single" w:sz="4" w:space="0" w:color="auto"/>
              <w:left w:val="single" w:sz="4" w:space="0" w:color="auto"/>
              <w:bottom w:val="single" w:sz="4" w:space="0" w:color="auto"/>
              <w:right w:val="single" w:sz="4" w:space="0" w:color="auto"/>
            </w:tcBorders>
          </w:tcPr>
          <w:p w14:paraId="4A4F9A8B" w14:textId="77777777" w:rsidR="0028345E" w:rsidRPr="002A111A" w:rsidRDefault="0028345E" w:rsidP="00A22C73">
            <w:pPr>
              <w:jc w:val="left"/>
              <w:rPr>
                <w:rFonts w:cs="Arial"/>
                <w:sz w:val="22"/>
                <w:szCs w:val="24"/>
                <w:shd w:val="clear" w:color="auto" w:fill="FFFFFF"/>
                <w:lang w:eastAsia="es-ES"/>
              </w:rPr>
            </w:pPr>
            <w:r w:rsidRPr="002A111A">
              <w:rPr>
                <w:rFonts w:cs="Arial"/>
                <w:sz w:val="22"/>
                <w:szCs w:val="24"/>
                <w:shd w:val="clear" w:color="auto" w:fill="FFFFFF"/>
                <w:lang w:eastAsia="es-ES"/>
              </w:rPr>
              <w:t>Comprehensive care for people with spinal cord injury in accessibility and support products for their social inclusion</w:t>
            </w:r>
          </w:p>
          <w:p w14:paraId="6AE891F2" w14:textId="77777777" w:rsidR="0028345E" w:rsidRPr="002A111A" w:rsidRDefault="0028345E" w:rsidP="00A22C73">
            <w:pPr>
              <w:jc w:val="left"/>
              <w:rPr>
                <w:rFonts w:cs="Arial"/>
                <w:sz w:val="22"/>
                <w:szCs w:val="24"/>
                <w:shd w:val="clear" w:color="auto" w:fill="FFFFFF"/>
                <w:lang w:eastAsia="es-ES"/>
              </w:rPr>
            </w:pPr>
          </w:p>
        </w:tc>
        <w:tc>
          <w:tcPr>
            <w:tcW w:w="1474" w:type="dxa"/>
            <w:tcBorders>
              <w:top w:val="single" w:sz="4" w:space="0" w:color="auto"/>
              <w:left w:val="single" w:sz="4" w:space="0" w:color="auto"/>
              <w:bottom w:val="single" w:sz="4" w:space="0" w:color="auto"/>
              <w:right w:val="single" w:sz="4" w:space="0" w:color="auto"/>
            </w:tcBorders>
            <w:hideMark/>
          </w:tcPr>
          <w:p w14:paraId="7733EDBE" w14:textId="77777777" w:rsidR="0028345E" w:rsidRPr="002A111A" w:rsidRDefault="0028345E" w:rsidP="00A22C73">
            <w:pPr>
              <w:jc w:val="right"/>
              <w:rPr>
                <w:rFonts w:cs="Arial"/>
                <w:sz w:val="22"/>
                <w:szCs w:val="24"/>
                <w:shd w:val="clear" w:color="auto" w:fill="FFFFFF"/>
                <w:lang w:eastAsia="es-ES"/>
              </w:rPr>
            </w:pPr>
            <w:r w:rsidRPr="002A111A">
              <w:rPr>
                <w:rFonts w:cs="Arial"/>
                <w:sz w:val="22"/>
                <w:szCs w:val="24"/>
                <w:shd w:val="clear" w:color="auto" w:fill="FFFFFF"/>
                <w:lang w:eastAsia="es-ES"/>
              </w:rPr>
              <w:t>32,000</w:t>
            </w:r>
          </w:p>
        </w:tc>
      </w:tr>
      <w:tr w:rsidR="0028345E" w:rsidRPr="002A111A" w14:paraId="347C71EE" w14:textId="77777777" w:rsidTr="00A22C73">
        <w:tc>
          <w:tcPr>
            <w:tcW w:w="4077" w:type="dxa"/>
            <w:tcBorders>
              <w:top w:val="single" w:sz="4" w:space="0" w:color="auto"/>
              <w:left w:val="single" w:sz="4" w:space="0" w:color="auto"/>
              <w:bottom w:val="single" w:sz="4" w:space="0" w:color="auto"/>
              <w:right w:val="single" w:sz="4" w:space="0" w:color="auto"/>
            </w:tcBorders>
            <w:hideMark/>
          </w:tcPr>
          <w:p w14:paraId="5FA7262A" w14:textId="2CF3CC3D" w:rsidR="0028345E" w:rsidRPr="002A111A" w:rsidRDefault="0028345E" w:rsidP="00A22C73">
            <w:pPr>
              <w:jc w:val="left"/>
              <w:rPr>
                <w:rFonts w:cs="Arial"/>
                <w:sz w:val="22"/>
                <w:szCs w:val="24"/>
                <w:shd w:val="clear" w:color="auto" w:fill="FFFFFF"/>
                <w:lang w:eastAsia="es-ES"/>
              </w:rPr>
            </w:pPr>
            <w:proofErr w:type="spellStart"/>
            <w:r w:rsidRPr="002A111A">
              <w:rPr>
                <w:rFonts w:cs="Arial"/>
                <w:sz w:val="22"/>
                <w:szCs w:val="24"/>
                <w:shd w:val="clear" w:color="auto" w:fill="FFFFFF"/>
                <w:lang w:eastAsia="es-ES"/>
              </w:rPr>
              <w:t>Confederación</w:t>
            </w:r>
            <w:proofErr w:type="spellEnd"/>
            <w:r w:rsidRPr="002A111A">
              <w:rPr>
                <w:rFonts w:cs="Arial"/>
                <w:sz w:val="22"/>
                <w:szCs w:val="24"/>
                <w:shd w:val="clear" w:color="auto" w:fill="FFFFFF"/>
                <w:lang w:eastAsia="es-ES"/>
              </w:rPr>
              <w:t xml:space="preserve"> </w:t>
            </w:r>
            <w:proofErr w:type="spellStart"/>
            <w:r w:rsidRPr="002A111A">
              <w:rPr>
                <w:rFonts w:cs="Arial"/>
                <w:sz w:val="22"/>
                <w:szCs w:val="24"/>
                <w:shd w:val="clear" w:color="auto" w:fill="FFFFFF"/>
                <w:lang w:eastAsia="es-ES"/>
              </w:rPr>
              <w:t>española</w:t>
            </w:r>
            <w:proofErr w:type="spellEnd"/>
            <w:r w:rsidRPr="002A111A">
              <w:rPr>
                <w:rFonts w:cs="Arial"/>
                <w:sz w:val="22"/>
                <w:szCs w:val="24"/>
                <w:shd w:val="clear" w:color="auto" w:fill="FFFFFF"/>
                <w:lang w:eastAsia="es-ES"/>
              </w:rPr>
              <w:t xml:space="preserve"> de personas con </w:t>
            </w:r>
            <w:proofErr w:type="spellStart"/>
            <w:r w:rsidRPr="002A111A">
              <w:rPr>
                <w:rFonts w:cs="Arial"/>
                <w:sz w:val="22"/>
                <w:szCs w:val="24"/>
                <w:shd w:val="clear" w:color="auto" w:fill="FFFFFF"/>
                <w:lang w:eastAsia="es-ES"/>
              </w:rPr>
              <w:t>discapacidad</w:t>
            </w:r>
            <w:proofErr w:type="spellEnd"/>
            <w:r w:rsidRPr="002A111A">
              <w:rPr>
                <w:rFonts w:cs="Arial"/>
                <w:sz w:val="22"/>
                <w:szCs w:val="24"/>
                <w:shd w:val="clear" w:color="auto" w:fill="FFFFFF"/>
                <w:lang w:eastAsia="es-ES"/>
              </w:rPr>
              <w:t xml:space="preserve"> </w:t>
            </w:r>
            <w:proofErr w:type="spellStart"/>
            <w:r w:rsidRPr="002A111A">
              <w:rPr>
                <w:rFonts w:cs="Arial"/>
                <w:sz w:val="22"/>
                <w:szCs w:val="24"/>
                <w:shd w:val="clear" w:color="auto" w:fill="FFFFFF"/>
                <w:lang w:eastAsia="es-ES"/>
              </w:rPr>
              <w:t>física</w:t>
            </w:r>
            <w:proofErr w:type="spellEnd"/>
            <w:r w:rsidRPr="002A111A">
              <w:rPr>
                <w:rFonts w:cs="Arial"/>
                <w:sz w:val="22"/>
                <w:szCs w:val="24"/>
                <w:shd w:val="clear" w:color="auto" w:fill="FFFFFF"/>
                <w:lang w:eastAsia="es-ES"/>
              </w:rPr>
              <w:t xml:space="preserve"> y </w:t>
            </w:r>
            <w:proofErr w:type="spellStart"/>
            <w:r w:rsidRPr="002A111A">
              <w:rPr>
                <w:rFonts w:cs="Arial"/>
                <w:sz w:val="22"/>
                <w:szCs w:val="24"/>
                <w:shd w:val="clear" w:color="auto" w:fill="FFFFFF"/>
                <w:lang w:eastAsia="es-ES"/>
              </w:rPr>
              <w:t>orgánica</w:t>
            </w:r>
            <w:proofErr w:type="spellEnd"/>
            <w:r w:rsidRPr="002A111A">
              <w:rPr>
                <w:rFonts w:cs="Arial"/>
                <w:sz w:val="22"/>
                <w:szCs w:val="24"/>
                <w:shd w:val="clear" w:color="auto" w:fill="FFFFFF"/>
                <w:lang w:eastAsia="es-ES"/>
              </w:rPr>
              <w:t xml:space="preserve"> </w:t>
            </w:r>
            <w:r w:rsidRPr="002A111A">
              <w:rPr>
                <w:rFonts w:cs="Arial"/>
                <w:sz w:val="22"/>
                <w:szCs w:val="24"/>
              </w:rPr>
              <w:t>Spanish Confederation of People with Physical and Organic Disability</w:t>
            </w:r>
          </w:p>
        </w:tc>
        <w:tc>
          <w:tcPr>
            <w:tcW w:w="0" w:type="auto"/>
            <w:tcBorders>
              <w:top w:val="single" w:sz="4" w:space="0" w:color="auto"/>
              <w:left w:val="single" w:sz="4" w:space="0" w:color="auto"/>
              <w:bottom w:val="single" w:sz="4" w:space="0" w:color="auto"/>
              <w:right w:val="single" w:sz="4" w:space="0" w:color="auto"/>
            </w:tcBorders>
            <w:hideMark/>
          </w:tcPr>
          <w:p w14:paraId="2A6FFBB7" w14:textId="77777777" w:rsidR="0028345E" w:rsidRPr="002A111A" w:rsidRDefault="0028345E" w:rsidP="00A22C73">
            <w:pPr>
              <w:jc w:val="left"/>
              <w:rPr>
                <w:rFonts w:cs="Arial"/>
                <w:sz w:val="22"/>
                <w:szCs w:val="24"/>
                <w:shd w:val="clear" w:color="auto" w:fill="FFFFFF"/>
                <w:lang w:eastAsia="es-ES"/>
              </w:rPr>
            </w:pPr>
            <w:r w:rsidRPr="002A111A">
              <w:rPr>
                <w:rFonts w:cs="Arial"/>
                <w:sz w:val="22"/>
                <w:szCs w:val="24"/>
                <w:shd w:val="clear" w:color="auto" w:fill="FFFFFF"/>
                <w:lang w:eastAsia="es-ES"/>
              </w:rPr>
              <w:t>State strategic program of temporary housing services</w:t>
            </w:r>
          </w:p>
        </w:tc>
        <w:tc>
          <w:tcPr>
            <w:tcW w:w="1474" w:type="dxa"/>
            <w:tcBorders>
              <w:top w:val="single" w:sz="4" w:space="0" w:color="auto"/>
              <w:left w:val="single" w:sz="4" w:space="0" w:color="auto"/>
              <w:bottom w:val="single" w:sz="4" w:space="0" w:color="auto"/>
              <w:right w:val="single" w:sz="4" w:space="0" w:color="auto"/>
            </w:tcBorders>
            <w:hideMark/>
          </w:tcPr>
          <w:p w14:paraId="251868E2" w14:textId="77777777" w:rsidR="0028345E" w:rsidRPr="002A111A" w:rsidRDefault="0028345E" w:rsidP="00A22C73">
            <w:pPr>
              <w:jc w:val="right"/>
              <w:rPr>
                <w:rFonts w:cs="Arial"/>
                <w:sz w:val="22"/>
                <w:szCs w:val="24"/>
                <w:shd w:val="clear" w:color="auto" w:fill="FFFFFF"/>
                <w:lang w:eastAsia="es-ES"/>
              </w:rPr>
            </w:pPr>
            <w:r w:rsidRPr="002A111A">
              <w:rPr>
                <w:rFonts w:cs="Arial"/>
                <w:sz w:val="22"/>
                <w:szCs w:val="24"/>
                <w:shd w:val="clear" w:color="auto" w:fill="FFFFFF"/>
                <w:lang w:eastAsia="es-ES"/>
              </w:rPr>
              <w:t>95,000</w:t>
            </w:r>
          </w:p>
        </w:tc>
      </w:tr>
      <w:tr w:rsidR="0028345E" w:rsidRPr="002A111A" w14:paraId="48956773" w14:textId="77777777" w:rsidTr="00A22C73">
        <w:tc>
          <w:tcPr>
            <w:tcW w:w="4077" w:type="dxa"/>
            <w:tcBorders>
              <w:top w:val="single" w:sz="4" w:space="0" w:color="auto"/>
              <w:left w:val="single" w:sz="4" w:space="0" w:color="auto"/>
              <w:bottom w:val="single" w:sz="4" w:space="0" w:color="auto"/>
              <w:right w:val="single" w:sz="4" w:space="0" w:color="auto"/>
            </w:tcBorders>
            <w:hideMark/>
          </w:tcPr>
          <w:p w14:paraId="252B8A69" w14:textId="673D2F2E" w:rsidR="0028345E" w:rsidRPr="002A111A" w:rsidRDefault="0028345E" w:rsidP="00A22C73">
            <w:pPr>
              <w:autoSpaceDE w:val="0"/>
              <w:autoSpaceDN w:val="0"/>
              <w:adjustRightInd w:val="0"/>
              <w:jc w:val="left"/>
              <w:rPr>
                <w:rFonts w:cs="Arial"/>
                <w:sz w:val="22"/>
                <w:szCs w:val="24"/>
              </w:rPr>
            </w:pPr>
            <w:proofErr w:type="spellStart"/>
            <w:r w:rsidRPr="002A111A">
              <w:rPr>
                <w:rFonts w:cs="Arial"/>
                <w:sz w:val="22"/>
                <w:szCs w:val="24"/>
              </w:rPr>
              <w:t>Confederacion</w:t>
            </w:r>
            <w:proofErr w:type="spellEnd"/>
            <w:r w:rsidRPr="002A111A">
              <w:rPr>
                <w:rFonts w:cs="Arial"/>
                <w:sz w:val="22"/>
                <w:szCs w:val="24"/>
              </w:rPr>
              <w:t xml:space="preserve"> Plena </w:t>
            </w:r>
            <w:proofErr w:type="spellStart"/>
            <w:r w:rsidRPr="002A111A">
              <w:rPr>
                <w:rFonts w:cs="Arial"/>
                <w:sz w:val="22"/>
                <w:szCs w:val="24"/>
              </w:rPr>
              <w:t>Inclusión</w:t>
            </w:r>
            <w:proofErr w:type="spellEnd"/>
            <w:r w:rsidRPr="002A111A">
              <w:rPr>
                <w:rFonts w:cs="Arial"/>
                <w:sz w:val="22"/>
                <w:szCs w:val="24"/>
              </w:rPr>
              <w:t xml:space="preserve"> </w:t>
            </w:r>
            <w:proofErr w:type="spellStart"/>
            <w:r w:rsidRPr="002A111A">
              <w:rPr>
                <w:rFonts w:cs="Arial"/>
                <w:sz w:val="22"/>
                <w:szCs w:val="24"/>
              </w:rPr>
              <w:t>España</w:t>
            </w:r>
            <w:proofErr w:type="spellEnd"/>
            <w:r w:rsidRPr="002A111A">
              <w:rPr>
                <w:rFonts w:cs="Arial"/>
                <w:sz w:val="22"/>
                <w:szCs w:val="24"/>
              </w:rPr>
              <w:t xml:space="preserve"> Full Inclusion Confederation - Spain</w:t>
            </w:r>
          </w:p>
        </w:tc>
        <w:tc>
          <w:tcPr>
            <w:tcW w:w="0" w:type="auto"/>
            <w:tcBorders>
              <w:top w:val="single" w:sz="4" w:space="0" w:color="auto"/>
              <w:left w:val="single" w:sz="4" w:space="0" w:color="auto"/>
              <w:bottom w:val="single" w:sz="4" w:space="0" w:color="auto"/>
              <w:right w:val="single" w:sz="4" w:space="0" w:color="auto"/>
            </w:tcBorders>
            <w:hideMark/>
          </w:tcPr>
          <w:p w14:paraId="1269948C" w14:textId="77777777" w:rsidR="0028345E" w:rsidRPr="002A111A" w:rsidRDefault="0028345E" w:rsidP="00A22C73">
            <w:pPr>
              <w:jc w:val="left"/>
              <w:rPr>
                <w:rFonts w:cs="Arial"/>
                <w:sz w:val="22"/>
                <w:szCs w:val="24"/>
                <w:shd w:val="clear" w:color="auto" w:fill="FFFFFF"/>
                <w:lang w:eastAsia="es-ES"/>
              </w:rPr>
            </w:pPr>
            <w:r w:rsidRPr="002A111A">
              <w:rPr>
                <w:rFonts w:cs="Arial"/>
                <w:sz w:val="22"/>
                <w:szCs w:val="24"/>
                <w:shd w:val="clear" w:color="auto" w:fill="FFFFFF"/>
                <w:lang w:eastAsia="es-ES"/>
              </w:rPr>
              <w:t>Applied research for the implementation of services focused on people with intellectual or developmental disabilities and their families</w:t>
            </w:r>
          </w:p>
        </w:tc>
        <w:tc>
          <w:tcPr>
            <w:tcW w:w="1474" w:type="dxa"/>
            <w:tcBorders>
              <w:top w:val="single" w:sz="4" w:space="0" w:color="auto"/>
              <w:left w:val="single" w:sz="4" w:space="0" w:color="auto"/>
              <w:bottom w:val="single" w:sz="4" w:space="0" w:color="auto"/>
              <w:right w:val="single" w:sz="4" w:space="0" w:color="auto"/>
            </w:tcBorders>
            <w:hideMark/>
          </w:tcPr>
          <w:p w14:paraId="77746D63" w14:textId="77777777" w:rsidR="0028345E" w:rsidRPr="002A111A" w:rsidRDefault="0028345E" w:rsidP="00A22C73">
            <w:pPr>
              <w:jc w:val="right"/>
              <w:rPr>
                <w:rFonts w:cs="Arial"/>
                <w:sz w:val="22"/>
                <w:szCs w:val="24"/>
                <w:shd w:val="clear" w:color="auto" w:fill="FFFFFF"/>
                <w:lang w:eastAsia="es-ES"/>
              </w:rPr>
            </w:pPr>
            <w:r w:rsidRPr="002A111A">
              <w:rPr>
                <w:rFonts w:cs="Arial"/>
                <w:sz w:val="22"/>
                <w:szCs w:val="24"/>
                <w:shd w:val="clear" w:color="auto" w:fill="FFFFFF"/>
                <w:lang w:eastAsia="es-ES"/>
              </w:rPr>
              <w:t>550.000</w:t>
            </w:r>
          </w:p>
        </w:tc>
      </w:tr>
      <w:tr w:rsidR="0028345E" w:rsidRPr="002A111A" w14:paraId="5A37B6CC" w14:textId="77777777" w:rsidTr="00A22C73">
        <w:tc>
          <w:tcPr>
            <w:tcW w:w="4077" w:type="dxa"/>
            <w:tcBorders>
              <w:top w:val="single" w:sz="4" w:space="0" w:color="auto"/>
              <w:left w:val="single" w:sz="4" w:space="0" w:color="auto"/>
              <w:bottom w:val="single" w:sz="4" w:space="0" w:color="auto"/>
              <w:right w:val="single" w:sz="4" w:space="0" w:color="auto"/>
            </w:tcBorders>
            <w:hideMark/>
          </w:tcPr>
          <w:p w14:paraId="26AE839E" w14:textId="0D6343A9" w:rsidR="0028345E" w:rsidRPr="002A111A" w:rsidRDefault="0028345E" w:rsidP="00A22C73">
            <w:pPr>
              <w:jc w:val="left"/>
              <w:rPr>
                <w:rFonts w:cs="Arial"/>
                <w:sz w:val="22"/>
                <w:szCs w:val="24"/>
                <w:shd w:val="clear" w:color="auto" w:fill="FFFFFF"/>
                <w:lang w:eastAsia="es-ES"/>
              </w:rPr>
            </w:pPr>
            <w:proofErr w:type="spellStart"/>
            <w:r w:rsidRPr="002A111A">
              <w:rPr>
                <w:rFonts w:cs="Arial"/>
                <w:sz w:val="22"/>
                <w:szCs w:val="24"/>
                <w:shd w:val="clear" w:color="auto" w:fill="FFFFFF"/>
                <w:lang w:eastAsia="es-ES"/>
              </w:rPr>
              <w:t>Federación</w:t>
            </w:r>
            <w:proofErr w:type="spellEnd"/>
            <w:r w:rsidRPr="002A111A">
              <w:rPr>
                <w:rFonts w:cs="Arial"/>
                <w:sz w:val="22"/>
                <w:szCs w:val="24"/>
                <w:shd w:val="clear" w:color="auto" w:fill="FFFFFF"/>
                <w:lang w:eastAsia="es-ES"/>
              </w:rPr>
              <w:t xml:space="preserve"> Española de </w:t>
            </w:r>
            <w:proofErr w:type="spellStart"/>
            <w:r w:rsidRPr="002A111A">
              <w:rPr>
                <w:rFonts w:cs="Arial"/>
                <w:sz w:val="22"/>
                <w:szCs w:val="24"/>
                <w:shd w:val="clear" w:color="auto" w:fill="FFFFFF"/>
                <w:lang w:eastAsia="es-ES"/>
              </w:rPr>
              <w:t>Daño</w:t>
            </w:r>
            <w:proofErr w:type="spellEnd"/>
            <w:r w:rsidRPr="002A111A">
              <w:rPr>
                <w:rFonts w:cs="Arial"/>
                <w:sz w:val="22"/>
                <w:szCs w:val="24"/>
                <w:shd w:val="clear" w:color="auto" w:fill="FFFFFF"/>
                <w:lang w:eastAsia="es-ES"/>
              </w:rPr>
              <w:t xml:space="preserve"> Cerebral Spanish Federation of Brain Injury</w:t>
            </w:r>
          </w:p>
        </w:tc>
        <w:tc>
          <w:tcPr>
            <w:tcW w:w="0" w:type="auto"/>
            <w:tcBorders>
              <w:top w:val="single" w:sz="4" w:space="0" w:color="auto"/>
              <w:left w:val="single" w:sz="4" w:space="0" w:color="auto"/>
              <w:bottom w:val="single" w:sz="4" w:space="0" w:color="auto"/>
              <w:right w:val="single" w:sz="4" w:space="0" w:color="auto"/>
            </w:tcBorders>
            <w:hideMark/>
          </w:tcPr>
          <w:p w14:paraId="0FFBF9E7" w14:textId="77777777" w:rsidR="0028345E" w:rsidRPr="002A111A" w:rsidRDefault="0028345E" w:rsidP="00A22C73">
            <w:pPr>
              <w:jc w:val="left"/>
              <w:rPr>
                <w:rFonts w:cs="Arial"/>
                <w:sz w:val="22"/>
                <w:szCs w:val="24"/>
                <w:shd w:val="clear" w:color="auto" w:fill="FFFFFF"/>
                <w:lang w:eastAsia="es-ES"/>
              </w:rPr>
            </w:pPr>
            <w:r w:rsidRPr="002A111A">
              <w:rPr>
                <w:rFonts w:cs="Arial"/>
                <w:sz w:val="22"/>
                <w:szCs w:val="24"/>
                <w:shd w:val="clear" w:color="auto" w:fill="FFFFFF"/>
                <w:lang w:eastAsia="es-ES"/>
              </w:rPr>
              <w:t>Social plasticity DCA: Action for the reconstruction of new projects of dignified life and inclusion of people with ACD in the community</w:t>
            </w:r>
          </w:p>
        </w:tc>
        <w:tc>
          <w:tcPr>
            <w:tcW w:w="1474" w:type="dxa"/>
            <w:tcBorders>
              <w:top w:val="single" w:sz="4" w:space="0" w:color="auto"/>
              <w:left w:val="single" w:sz="4" w:space="0" w:color="auto"/>
              <w:bottom w:val="single" w:sz="4" w:space="0" w:color="auto"/>
              <w:right w:val="single" w:sz="4" w:space="0" w:color="auto"/>
            </w:tcBorders>
            <w:hideMark/>
          </w:tcPr>
          <w:p w14:paraId="50AEBA8E" w14:textId="77777777" w:rsidR="0028345E" w:rsidRPr="002A111A" w:rsidRDefault="0028345E" w:rsidP="00A22C73">
            <w:pPr>
              <w:jc w:val="right"/>
              <w:rPr>
                <w:rFonts w:cs="Arial"/>
                <w:sz w:val="22"/>
                <w:szCs w:val="24"/>
                <w:shd w:val="clear" w:color="auto" w:fill="FFFFFF"/>
                <w:lang w:eastAsia="es-ES"/>
              </w:rPr>
            </w:pPr>
            <w:r w:rsidRPr="002A111A">
              <w:rPr>
                <w:rFonts w:cs="Arial"/>
                <w:sz w:val="22"/>
                <w:szCs w:val="24"/>
                <w:shd w:val="clear" w:color="auto" w:fill="FFFFFF"/>
                <w:lang w:eastAsia="es-ES"/>
              </w:rPr>
              <w:t>20.000</w:t>
            </w:r>
          </w:p>
        </w:tc>
      </w:tr>
      <w:tr w:rsidR="0028345E" w:rsidRPr="002A111A" w14:paraId="3764814B" w14:textId="77777777" w:rsidTr="00A22C73">
        <w:tc>
          <w:tcPr>
            <w:tcW w:w="4077" w:type="dxa"/>
            <w:tcBorders>
              <w:top w:val="single" w:sz="4" w:space="0" w:color="auto"/>
              <w:left w:val="single" w:sz="4" w:space="0" w:color="auto"/>
              <w:bottom w:val="single" w:sz="4" w:space="0" w:color="auto"/>
              <w:right w:val="single" w:sz="4" w:space="0" w:color="auto"/>
            </w:tcBorders>
            <w:hideMark/>
          </w:tcPr>
          <w:p w14:paraId="266C8874" w14:textId="3335917C" w:rsidR="0028345E" w:rsidRPr="002A111A" w:rsidRDefault="0028345E" w:rsidP="00A22C73">
            <w:pPr>
              <w:jc w:val="left"/>
              <w:rPr>
                <w:rFonts w:cs="Arial"/>
                <w:sz w:val="22"/>
                <w:szCs w:val="24"/>
              </w:rPr>
            </w:pPr>
            <w:proofErr w:type="spellStart"/>
            <w:r w:rsidRPr="002A111A">
              <w:rPr>
                <w:rFonts w:cs="Arial"/>
                <w:sz w:val="22"/>
                <w:szCs w:val="24"/>
              </w:rPr>
              <w:t>Plataforma</w:t>
            </w:r>
            <w:proofErr w:type="spellEnd"/>
            <w:r w:rsidRPr="002A111A">
              <w:rPr>
                <w:rFonts w:cs="Arial"/>
                <w:sz w:val="22"/>
                <w:szCs w:val="24"/>
              </w:rPr>
              <w:t xml:space="preserve"> </w:t>
            </w:r>
            <w:proofErr w:type="spellStart"/>
            <w:r w:rsidRPr="002A111A">
              <w:rPr>
                <w:rFonts w:cs="Arial"/>
                <w:sz w:val="22"/>
                <w:szCs w:val="24"/>
              </w:rPr>
              <w:t>Representativa</w:t>
            </w:r>
            <w:proofErr w:type="spellEnd"/>
            <w:r w:rsidRPr="002A111A">
              <w:rPr>
                <w:rFonts w:cs="Arial"/>
                <w:sz w:val="22"/>
                <w:szCs w:val="24"/>
              </w:rPr>
              <w:t xml:space="preserve"> </w:t>
            </w:r>
            <w:proofErr w:type="spellStart"/>
            <w:r w:rsidRPr="002A111A">
              <w:rPr>
                <w:rFonts w:cs="Arial"/>
                <w:sz w:val="22"/>
                <w:szCs w:val="24"/>
              </w:rPr>
              <w:t>Estatal</w:t>
            </w:r>
            <w:proofErr w:type="spellEnd"/>
            <w:r w:rsidRPr="002A111A">
              <w:rPr>
                <w:rFonts w:cs="Arial"/>
                <w:sz w:val="22"/>
                <w:szCs w:val="24"/>
              </w:rPr>
              <w:t xml:space="preserve"> De Personas Con </w:t>
            </w:r>
            <w:proofErr w:type="spellStart"/>
            <w:r w:rsidRPr="002A111A">
              <w:rPr>
                <w:rFonts w:cs="Arial"/>
                <w:sz w:val="22"/>
                <w:szCs w:val="24"/>
              </w:rPr>
              <w:t>Discapacidad</w:t>
            </w:r>
            <w:proofErr w:type="spellEnd"/>
            <w:r w:rsidRPr="002A111A">
              <w:rPr>
                <w:rFonts w:cs="Arial"/>
                <w:sz w:val="22"/>
                <w:szCs w:val="24"/>
              </w:rPr>
              <w:t xml:space="preserve"> </w:t>
            </w:r>
            <w:proofErr w:type="spellStart"/>
            <w:r w:rsidRPr="002A111A">
              <w:rPr>
                <w:rFonts w:cs="Arial"/>
                <w:sz w:val="22"/>
                <w:szCs w:val="24"/>
              </w:rPr>
              <w:t>Fisica</w:t>
            </w:r>
            <w:proofErr w:type="spellEnd"/>
            <w:r w:rsidRPr="002A111A">
              <w:rPr>
                <w:rFonts w:cs="Arial"/>
                <w:sz w:val="22"/>
                <w:szCs w:val="24"/>
              </w:rPr>
              <w:t xml:space="preserve"> State Representative Platform for People with Physical Disabilities</w:t>
            </w:r>
          </w:p>
        </w:tc>
        <w:tc>
          <w:tcPr>
            <w:tcW w:w="0" w:type="auto"/>
            <w:tcBorders>
              <w:top w:val="single" w:sz="4" w:space="0" w:color="auto"/>
              <w:left w:val="single" w:sz="4" w:space="0" w:color="auto"/>
              <w:bottom w:val="single" w:sz="4" w:space="0" w:color="auto"/>
              <w:right w:val="single" w:sz="4" w:space="0" w:color="auto"/>
            </w:tcBorders>
            <w:hideMark/>
          </w:tcPr>
          <w:p w14:paraId="2CBB838A" w14:textId="77777777" w:rsidR="0028345E" w:rsidRPr="002A111A" w:rsidRDefault="0028345E" w:rsidP="00A22C73">
            <w:pPr>
              <w:jc w:val="left"/>
              <w:rPr>
                <w:rFonts w:cs="Arial"/>
                <w:sz w:val="22"/>
                <w:szCs w:val="24"/>
                <w:shd w:val="clear" w:color="auto" w:fill="FFFFFF"/>
                <w:lang w:eastAsia="es-ES"/>
              </w:rPr>
            </w:pPr>
            <w:r w:rsidRPr="002A111A">
              <w:rPr>
                <w:rFonts w:cs="Arial"/>
                <w:sz w:val="22"/>
                <w:szCs w:val="24"/>
                <w:shd w:val="clear" w:color="auto" w:fill="FFFFFF"/>
                <w:lang w:eastAsia="es-ES"/>
              </w:rPr>
              <w:t>State observatory of personal assistance and independent living</w:t>
            </w:r>
          </w:p>
        </w:tc>
        <w:tc>
          <w:tcPr>
            <w:tcW w:w="1474" w:type="dxa"/>
            <w:tcBorders>
              <w:top w:val="single" w:sz="4" w:space="0" w:color="auto"/>
              <w:left w:val="single" w:sz="4" w:space="0" w:color="auto"/>
              <w:bottom w:val="single" w:sz="4" w:space="0" w:color="auto"/>
              <w:right w:val="single" w:sz="4" w:space="0" w:color="auto"/>
            </w:tcBorders>
            <w:hideMark/>
          </w:tcPr>
          <w:p w14:paraId="30B1FDDB" w14:textId="77777777" w:rsidR="0028345E" w:rsidRPr="002A111A" w:rsidRDefault="0028345E" w:rsidP="00A22C73">
            <w:pPr>
              <w:jc w:val="right"/>
              <w:rPr>
                <w:rFonts w:cs="Arial"/>
                <w:sz w:val="22"/>
                <w:szCs w:val="24"/>
                <w:shd w:val="clear" w:color="auto" w:fill="FFFFFF"/>
                <w:lang w:eastAsia="es-ES"/>
              </w:rPr>
            </w:pPr>
            <w:r w:rsidRPr="002A111A">
              <w:rPr>
                <w:rFonts w:cs="Arial"/>
                <w:sz w:val="22"/>
                <w:szCs w:val="24"/>
              </w:rPr>
              <w:t>60.000,00</w:t>
            </w:r>
          </w:p>
        </w:tc>
      </w:tr>
      <w:tr w:rsidR="0028345E" w:rsidRPr="002A111A" w14:paraId="06AFF8F5" w14:textId="77777777" w:rsidTr="00A22C73">
        <w:tc>
          <w:tcPr>
            <w:tcW w:w="4077" w:type="dxa"/>
            <w:tcBorders>
              <w:top w:val="single" w:sz="4" w:space="0" w:color="auto"/>
              <w:left w:val="single" w:sz="4" w:space="0" w:color="auto"/>
              <w:bottom w:val="single" w:sz="4" w:space="0" w:color="auto"/>
              <w:right w:val="single" w:sz="4" w:space="0" w:color="auto"/>
            </w:tcBorders>
            <w:hideMark/>
          </w:tcPr>
          <w:p w14:paraId="25C0DFB5" w14:textId="77777777" w:rsidR="0028345E" w:rsidRPr="002A111A" w:rsidRDefault="0028345E" w:rsidP="00A22C73">
            <w:pPr>
              <w:jc w:val="left"/>
              <w:rPr>
                <w:rFonts w:cs="Arial"/>
                <w:sz w:val="22"/>
                <w:szCs w:val="24"/>
                <w:shd w:val="clear" w:color="auto" w:fill="FFFFFF"/>
                <w:lang w:eastAsia="es-ES"/>
              </w:rPr>
            </w:pPr>
            <w:proofErr w:type="spellStart"/>
            <w:r w:rsidRPr="002A111A">
              <w:rPr>
                <w:rFonts w:cs="Arial"/>
                <w:sz w:val="22"/>
                <w:szCs w:val="24"/>
              </w:rPr>
              <w:t>Provivienda</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352E4D6" w14:textId="77777777" w:rsidR="0028345E" w:rsidRPr="002A111A" w:rsidRDefault="0028345E" w:rsidP="00A22C73">
            <w:pPr>
              <w:jc w:val="left"/>
              <w:rPr>
                <w:rFonts w:cs="Arial"/>
                <w:sz w:val="22"/>
                <w:szCs w:val="24"/>
              </w:rPr>
            </w:pPr>
            <w:r w:rsidRPr="002A111A">
              <w:rPr>
                <w:rFonts w:cs="Arial"/>
                <w:sz w:val="22"/>
                <w:szCs w:val="24"/>
              </w:rPr>
              <w:t>Collaboration in health protection policies through the promotion of decent housing</w:t>
            </w:r>
          </w:p>
        </w:tc>
        <w:tc>
          <w:tcPr>
            <w:tcW w:w="1474" w:type="dxa"/>
            <w:tcBorders>
              <w:top w:val="single" w:sz="4" w:space="0" w:color="auto"/>
              <w:left w:val="single" w:sz="4" w:space="0" w:color="auto"/>
              <w:bottom w:val="single" w:sz="4" w:space="0" w:color="auto"/>
              <w:right w:val="single" w:sz="4" w:space="0" w:color="auto"/>
            </w:tcBorders>
            <w:hideMark/>
          </w:tcPr>
          <w:p w14:paraId="4E21EDE3" w14:textId="77777777" w:rsidR="0028345E" w:rsidRPr="002A111A" w:rsidRDefault="0028345E" w:rsidP="00A22C73">
            <w:pPr>
              <w:jc w:val="right"/>
              <w:rPr>
                <w:rFonts w:cs="Arial"/>
                <w:sz w:val="22"/>
                <w:szCs w:val="24"/>
                <w:shd w:val="clear" w:color="auto" w:fill="FFFFFF"/>
                <w:lang w:eastAsia="es-ES"/>
              </w:rPr>
            </w:pPr>
            <w:r w:rsidRPr="002A111A">
              <w:rPr>
                <w:rFonts w:cs="Arial"/>
                <w:sz w:val="22"/>
                <w:szCs w:val="24"/>
              </w:rPr>
              <w:t>80.000,00</w:t>
            </w:r>
          </w:p>
        </w:tc>
      </w:tr>
      <w:tr w:rsidR="0028345E" w:rsidRPr="002A111A" w14:paraId="5510197F" w14:textId="77777777" w:rsidTr="00A22C73">
        <w:tc>
          <w:tcPr>
            <w:tcW w:w="4077" w:type="dxa"/>
            <w:tcBorders>
              <w:top w:val="single" w:sz="4" w:space="0" w:color="auto"/>
              <w:left w:val="single" w:sz="4" w:space="0" w:color="auto"/>
              <w:bottom w:val="single" w:sz="4" w:space="0" w:color="auto"/>
              <w:right w:val="single" w:sz="4" w:space="0" w:color="auto"/>
            </w:tcBorders>
            <w:hideMark/>
          </w:tcPr>
          <w:p w14:paraId="27EE7A2A" w14:textId="17733B53" w:rsidR="0028345E" w:rsidRPr="002A111A" w:rsidRDefault="0028345E" w:rsidP="00A22C73">
            <w:pPr>
              <w:jc w:val="left"/>
              <w:rPr>
                <w:rFonts w:cs="Arial"/>
                <w:sz w:val="22"/>
                <w:szCs w:val="24"/>
                <w:shd w:val="clear" w:color="auto" w:fill="FFFFFF"/>
                <w:lang w:eastAsia="es-ES"/>
              </w:rPr>
            </w:pPr>
            <w:proofErr w:type="spellStart"/>
            <w:r w:rsidRPr="002A111A">
              <w:rPr>
                <w:rFonts w:cs="Arial"/>
                <w:sz w:val="22"/>
                <w:szCs w:val="24"/>
                <w:shd w:val="clear" w:color="auto" w:fill="FFFFFF"/>
                <w:lang w:eastAsia="es-ES"/>
              </w:rPr>
              <w:t>Confederación</w:t>
            </w:r>
            <w:proofErr w:type="spellEnd"/>
            <w:r w:rsidRPr="002A111A">
              <w:rPr>
                <w:rFonts w:cs="Arial"/>
                <w:sz w:val="22"/>
                <w:szCs w:val="24"/>
                <w:shd w:val="clear" w:color="auto" w:fill="FFFFFF"/>
                <w:lang w:eastAsia="es-ES"/>
              </w:rPr>
              <w:t xml:space="preserve"> </w:t>
            </w:r>
            <w:proofErr w:type="spellStart"/>
            <w:r w:rsidRPr="002A111A">
              <w:rPr>
                <w:rFonts w:cs="Arial"/>
                <w:sz w:val="22"/>
                <w:szCs w:val="24"/>
                <w:shd w:val="clear" w:color="auto" w:fill="FFFFFF"/>
                <w:lang w:eastAsia="es-ES"/>
              </w:rPr>
              <w:t>española</w:t>
            </w:r>
            <w:proofErr w:type="spellEnd"/>
            <w:r w:rsidRPr="002A111A">
              <w:rPr>
                <w:rFonts w:cs="Arial"/>
                <w:sz w:val="22"/>
                <w:szCs w:val="24"/>
                <w:shd w:val="clear" w:color="auto" w:fill="FFFFFF"/>
                <w:lang w:eastAsia="es-ES"/>
              </w:rPr>
              <w:t xml:space="preserve"> de personas con </w:t>
            </w:r>
            <w:proofErr w:type="spellStart"/>
            <w:r w:rsidRPr="002A111A">
              <w:rPr>
                <w:rFonts w:cs="Arial"/>
                <w:sz w:val="22"/>
                <w:szCs w:val="24"/>
                <w:shd w:val="clear" w:color="auto" w:fill="FFFFFF"/>
                <w:lang w:eastAsia="es-ES"/>
              </w:rPr>
              <w:t>discapacidad</w:t>
            </w:r>
            <w:proofErr w:type="spellEnd"/>
            <w:r w:rsidRPr="002A111A">
              <w:rPr>
                <w:rFonts w:cs="Arial"/>
                <w:sz w:val="22"/>
                <w:szCs w:val="24"/>
                <w:shd w:val="clear" w:color="auto" w:fill="FFFFFF"/>
                <w:lang w:eastAsia="es-ES"/>
              </w:rPr>
              <w:t xml:space="preserve"> </w:t>
            </w:r>
            <w:proofErr w:type="spellStart"/>
            <w:r w:rsidRPr="002A111A">
              <w:rPr>
                <w:rFonts w:cs="Arial"/>
                <w:sz w:val="22"/>
                <w:szCs w:val="24"/>
                <w:shd w:val="clear" w:color="auto" w:fill="FFFFFF"/>
                <w:lang w:eastAsia="es-ES"/>
              </w:rPr>
              <w:t>física</w:t>
            </w:r>
            <w:proofErr w:type="spellEnd"/>
            <w:r w:rsidRPr="002A111A">
              <w:rPr>
                <w:rFonts w:cs="Arial"/>
                <w:sz w:val="22"/>
                <w:szCs w:val="24"/>
                <w:shd w:val="clear" w:color="auto" w:fill="FFFFFF"/>
                <w:lang w:eastAsia="es-ES"/>
              </w:rPr>
              <w:t xml:space="preserve"> y </w:t>
            </w:r>
            <w:proofErr w:type="spellStart"/>
            <w:r w:rsidRPr="002A111A">
              <w:rPr>
                <w:rFonts w:cs="Arial"/>
                <w:sz w:val="22"/>
                <w:szCs w:val="24"/>
                <w:shd w:val="clear" w:color="auto" w:fill="FFFFFF"/>
                <w:lang w:eastAsia="es-ES"/>
              </w:rPr>
              <w:t>orgánica</w:t>
            </w:r>
            <w:proofErr w:type="spellEnd"/>
            <w:r w:rsidRPr="002A111A">
              <w:rPr>
                <w:rFonts w:cs="Arial"/>
                <w:sz w:val="22"/>
                <w:szCs w:val="24"/>
                <w:shd w:val="clear" w:color="auto" w:fill="FFFFFF"/>
                <w:lang w:eastAsia="es-ES"/>
              </w:rPr>
              <w:t xml:space="preserve"> </w:t>
            </w:r>
            <w:r w:rsidRPr="002A111A">
              <w:rPr>
                <w:rFonts w:cs="Arial"/>
                <w:sz w:val="22"/>
                <w:szCs w:val="24"/>
              </w:rPr>
              <w:t>Spanish Confederation of People with Physical and Organic Disability</w:t>
            </w:r>
          </w:p>
        </w:tc>
        <w:tc>
          <w:tcPr>
            <w:tcW w:w="0" w:type="auto"/>
            <w:tcBorders>
              <w:top w:val="single" w:sz="4" w:space="0" w:color="auto"/>
              <w:left w:val="single" w:sz="4" w:space="0" w:color="auto"/>
              <w:bottom w:val="single" w:sz="4" w:space="0" w:color="auto"/>
              <w:right w:val="single" w:sz="4" w:space="0" w:color="auto"/>
            </w:tcBorders>
            <w:hideMark/>
          </w:tcPr>
          <w:p w14:paraId="02D168B7" w14:textId="0A402C0F" w:rsidR="0028345E" w:rsidRPr="002A111A" w:rsidRDefault="0028345E" w:rsidP="00A22C73">
            <w:pPr>
              <w:jc w:val="left"/>
              <w:rPr>
                <w:rFonts w:cs="Arial"/>
                <w:sz w:val="22"/>
                <w:szCs w:val="24"/>
                <w:shd w:val="clear" w:color="auto" w:fill="FFFFFF"/>
                <w:lang w:eastAsia="es-ES"/>
              </w:rPr>
            </w:pPr>
            <w:r w:rsidRPr="002A111A">
              <w:rPr>
                <w:rFonts w:cs="Arial"/>
                <w:sz w:val="22"/>
                <w:szCs w:val="24"/>
                <w:shd w:val="clear" w:color="auto" w:fill="FFFFFF"/>
                <w:lang w:eastAsia="es-ES"/>
              </w:rPr>
              <w:t xml:space="preserve">Comprehensive care program for people in </w:t>
            </w:r>
            <w:r w:rsidR="002A111A" w:rsidRPr="002A111A">
              <w:rPr>
                <w:rFonts w:cs="Arial"/>
                <w:sz w:val="22"/>
                <w:szCs w:val="24"/>
                <w:shd w:val="clear" w:color="auto" w:fill="FFFFFF"/>
                <w:lang w:eastAsia="es-ES"/>
              </w:rPr>
              <w:t>centres</w:t>
            </w:r>
            <w:r w:rsidRPr="002A111A">
              <w:rPr>
                <w:rFonts w:cs="Arial"/>
                <w:sz w:val="22"/>
                <w:szCs w:val="24"/>
                <w:shd w:val="clear" w:color="auto" w:fill="FFFFFF"/>
                <w:lang w:eastAsia="es-ES"/>
              </w:rPr>
              <w:t xml:space="preserve"> dependent on IMSERSO through support services for independent living</w:t>
            </w:r>
          </w:p>
        </w:tc>
        <w:tc>
          <w:tcPr>
            <w:tcW w:w="1474" w:type="dxa"/>
            <w:tcBorders>
              <w:top w:val="single" w:sz="4" w:space="0" w:color="auto"/>
              <w:left w:val="single" w:sz="4" w:space="0" w:color="auto"/>
              <w:bottom w:val="single" w:sz="4" w:space="0" w:color="auto"/>
              <w:right w:val="single" w:sz="4" w:space="0" w:color="auto"/>
            </w:tcBorders>
            <w:hideMark/>
          </w:tcPr>
          <w:p w14:paraId="36AAE496" w14:textId="77777777" w:rsidR="0028345E" w:rsidRPr="002A111A" w:rsidRDefault="0028345E" w:rsidP="00A22C73">
            <w:pPr>
              <w:jc w:val="right"/>
              <w:rPr>
                <w:rFonts w:cs="Arial"/>
                <w:sz w:val="22"/>
                <w:szCs w:val="24"/>
                <w:shd w:val="clear" w:color="auto" w:fill="FFFFFF"/>
                <w:lang w:eastAsia="es-ES"/>
              </w:rPr>
            </w:pPr>
            <w:r w:rsidRPr="002A111A">
              <w:rPr>
                <w:rFonts w:cs="Arial"/>
                <w:sz w:val="22"/>
                <w:szCs w:val="24"/>
                <w:shd w:val="clear" w:color="auto" w:fill="FFFFFF"/>
                <w:lang w:eastAsia="es-ES"/>
              </w:rPr>
              <w:t>480.7000</w:t>
            </w:r>
          </w:p>
        </w:tc>
      </w:tr>
      <w:tr w:rsidR="0028345E" w:rsidRPr="002A111A" w14:paraId="13FD0A49" w14:textId="77777777" w:rsidTr="00A22C73">
        <w:tc>
          <w:tcPr>
            <w:tcW w:w="4077" w:type="dxa"/>
            <w:tcBorders>
              <w:top w:val="single" w:sz="4" w:space="0" w:color="auto"/>
              <w:left w:val="single" w:sz="4" w:space="0" w:color="auto"/>
              <w:bottom w:val="single" w:sz="4" w:space="0" w:color="auto"/>
              <w:right w:val="single" w:sz="4" w:space="0" w:color="auto"/>
            </w:tcBorders>
            <w:hideMark/>
          </w:tcPr>
          <w:p w14:paraId="65AF0729" w14:textId="57008CE2" w:rsidR="0028345E" w:rsidRPr="002A111A" w:rsidRDefault="0028345E" w:rsidP="00A22C73">
            <w:pPr>
              <w:jc w:val="left"/>
              <w:rPr>
                <w:rFonts w:cs="Arial"/>
                <w:sz w:val="22"/>
                <w:szCs w:val="24"/>
                <w:shd w:val="clear" w:color="auto" w:fill="FFFFFF"/>
                <w:lang w:eastAsia="es-ES"/>
              </w:rPr>
            </w:pPr>
            <w:proofErr w:type="spellStart"/>
            <w:r w:rsidRPr="002A111A">
              <w:rPr>
                <w:rFonts w:cs="Arial"/>
                <w:sz w:val="22"/>
                <w:szCs w:val="24"/>
              </w:rPr>
              <w:t>Federacion</w:t>
            </w:r>
            <w:proofErr w:type="spellEnd"/>
            <w:r w:rsidRPr="002A111A">
              <w:rPr>
                <w:rFonts w:cs="Arial"/>
                <w:sz w:val="22"/>
                <w:szCs w:val="24"/>
              </w:rPr>
              <w:t xml:space="preserve"> Nacional De </w:t>
            </w:r>
            <w:proofErr w:type="spellStart"/>
            <w:r w:rsidRPr="002A111A">
              <w:rPr>
                <w:rFonts w:cs="Arial"/>
                <w:sz w:val="22"/>
                <w:szCs w:val="24"/>
              </w:rPr>
              <w:t>Asociaciones</w:t>
            </w:r>
            <w:proofErr w:type="spellEnd"/>
            <w:r w:rsidRPr="002A111A">
              <w:rPr>
                <w:rFonts w:cs="Arial"/>
                <w:sz w:val="22"/>
                <w:szCs w:val="24"/>
              </w:rPr>
              <w:t xml:space="preserve"> ALCER (</w:t>
            </w:r>
            <w:proofErr w:type="spellStart"/>
            <w:r w:rsidRPr="002A111A">
              <w:rPr>
                <w:rFonts w:cs="Arial"/>
                <w:sz w:val="22"/>
                <w:szCs w:val="24"/>
              </w:rPr>
              <w:t>Asociación</w:t>
            </w:r>
            <w:proofErr w:type="spellEnd"/>
            <w:r w:rsidRPr="002A111A">
              <w:rPr>
                <w:rFonts w:cs="Arial"/>
                <w:sz w:val="22"/>
                <w:szCs w:val="24"/>
              </w:rPr>
              <w:t xml:space="preserve"> Para La </w:t>
            </w:r>
            <w:proofErr w:type="spellStart"/>
            <w:r w:rsidRPr="002A111A">
              <w:rPr>
                <w:rFonts w:cs="Arial"/>
                <w:sz w:val="22"/>
                <w:szCs w:val="24"/>
              </w:rPr>
              <w:t>Ayuda</w:t>
            </w:r>
            <w:proofErr w:type="spellEnd"/>
            <w:r w:rsidRPr="002A111A">
              <w:rPr>
                <w:rFonts w:cs="Arial"/>
                <w:sz w:val="22"/>
                <w:szCs w:val="24"/>
              </w:rPr>
              <w:t xml:space="preserve"> </w:t>
            </w:r>
            <w:r w:rsidRPr="002A111A">
              <w:rPr>
                <w:rFonts w:cs="Arial"/>
                <w:sz w:val="22"/>
                <w:szCs w:val="24"/>
              </w:rPr>
              <w:lastRenderedPageBreak/>
              <w:t xml:space="preserve">Contra Las </w:t>
            </w:r>
            <w:proofErr w:type="spellStart"/>
            <w:r w:rsidRPr="002A111A">
              <w:rPr>
                <w:rFonts w:cs="Arial"/>
                <w:sz w:val="22"/>
                <w:szCs w:val="24"/>
              </w:rPr>
              <w:t>Enfermedades</w:t>
            </w:r>
            <w:proofErr w:type="spellEnd"/>
            <w:r w:rsidRPr="002A111A">
              <w:rPr>
                <w:rFonts w:cs="Arial"/>
                <w:sz w:val="22"/>
                <w:szCs w:val="24"/>
              </w:rPr>
              <w:t xml:space="preserve"> Del </w:t>
            </w:r>
            <w:proofErr w:type="spellStart"/>
            <w:r w:rsidRPr="002A111A">
              <w:rPr>
                <w:rFonts w:cs="Arial"/>
                <w:sz w:val="22"/>
                <w:szCs w:val="24"/>
              </w:rPr>
              <w:t>Riñón</w:t>
            </w:r>
            <w:proofErr w:type="spellEnd"/>
            <w:r w:rsidRPr="002A111A">
              <w:rPr>
                <w:rFonts w:cs="Arial"/>
                <w:sz w:val="22"/>
                <w:szCs w:val="24"/>
              </w:rPr>
              <w:t>) National Federation of Associations ALCER (Association for Help IN Kidney Diseases)</w:t>
            </w:r>
          </w:p>
        </w:tc>
        <w:tc>
          <w:tcPr>
            <w:tcW w:w="0" w:type="auto"/>
            <w:tcBorders>
              <w:top w:val="single" w:sz="4" w:space="0" w:color="auto"/>
              <w:left w:val="single" w:sz="4" w:space="0" w:color="auto"/>
              <w:bottom w:val="single" w:sz="4" w:space="0" w:color="auto"/>
              <w:right w:val="single" w:sz="4" w:space="0" w:color="auto"/>
            </w:tcBorders>
            <w:hideMark/>
          </w:tcPr>
          <w:p w14:paraId="06B28A90" w14:textId="77777777" w:rsidR="0028345E" w:rsidRPr="002A111A" w:rsidRDefault="0028345E" w:rsidP="00A22C73">
            <w:pPr>
              <w:jc w:val="left"/>
              <w:rPr>
                <w:rFonts w:cs="Arial"/>
                <w:sz w:val="22"/>
                <w:szCs w:val="24"/>
                <w:shd w:val="clear" w:color="auto" w:fill="FFFFFF"/>
                <w:lang w:eastAsia="es-ES"/>
              </w:rPr>
            </w:pPr>
            <w:r w:rsidRPr="002A111A">
              <w:rPr>
                <w:rFonts w:cs="Arial"/>
                <w:sz w:val="22"/>
                <w:szCs w:val="24"/>
                <w:shd w:val="clear" w:color="auto" w:fill="FFFFFF"/>
                <w:lang w:eastAsia="es-ES"/>
              </w:rPr>
              <w:lastRenderedPageBreak/>
              <w:t xml:space="preserve">Promotion and training of volunteers for their intervention in </w:t>
            </w:r>
            <w:r w:rsidRPr="002A111A">
              <w:rPr>
                <w:rFonts w:cs="Arial"/>
                <w:sz w:val="22"/>
                <w:szCs w:val="24"/>
                <w:shd w:val="clear" w:color="auto" w:fill="FFFFFF"/>
                <w:lang w:eastAsia="es-ES"/>
              </w:rPr>
              <w:lastRenderedPageBreak/>
              <w:t>the assisted floors program of the National Federation ALCER</w:t>
            </w:r>
          </w:p>
        </w:tc>
        <w:tc>
          <w:tcPr>
            <w:tcW w:w="1474" w:type="dxa"/>
            <w:tcBorders>
              <w:top w:val="single" w:sz="4" w:space="0" w:color="auto"/>
              <w:left w:val="single" w:sz="4" w:space="0" w:color="auto"/>
              <w:bottom w:val="single" w:sz="4" w:space="0" w:color="auto"/>
              <w:right w:val="single" w:sz="4" w:space="0" w:color="auto"/>
            </w:tcBorders>
            <w:hideMark/>
          </w:tcPr>
          <w:p w14:paraId="0A7A618D" w14:textId="77777777" w:rsidR="0028345E" w:rsidRPr="002A111A" w:rsidRDefault="0028345E" w:rsidP="00A22C73">
            <w:pPr>
              <w:jc w:val="right"/>
              <w:rPr>
                <w:rFonts w:cs="Arial"/>
                <w:sz w:val="22"/>
                <w:szCs w:val="24"/>
                <w:shd w:val="clear" w:color="auto" w:fill="FFFFFF"/>
                <w:lang w:eastAsia="es-ES"/>
              </w:rPr>
            </w:pPr>
            <w:r w:rsidRPr="002A111A">
              <w:rPr>
                <w:rFonts w:cs="Arial"/>
                <w:sz w:val="22"/>
                <w:szCs w:val="24"/>
                <w:shd w:val="clear" w:color="auto" w:fill="FFFFFF"/>
                <w:lang w:eastAsia="es-ES"/>
              </w:rPr>
              <w:lastRenderedPageBreak/>
              <w:t>7.000</w:t>
            </w:r>
          </w:p>
        </w:tc>
      </w:tr>
    </w:tbl>
    <w:p w14:paraId="6BEAA63D" w14:textId="77777777" w:rsidR="00B5485B" w:rsidRPr="002A111A" w:rsidRDefault="00B5485B" w:rsidP="00B446F1">
      <w:pPr>
        <w:rPr>
          <w:rFonts w:cs="Arial"/>
          <w:b/>
          <w:szCs w:val="24"/>
        </w:rPr>
      </w:pPr>
    </w:p>
    <w:p w14:paraId="23F8682D" w14:textId="1C54665F" w:rsidR="008E4ACD" w:rsidRPr="002A111A" w:rsidRDefault="008E4ACD" w:rsidP="00B446F1">
      <w:pPr>
        <w:pStyle w:val="Heading2"/>
        <w:rPr>
          <w:rFonts w:cs="Arial"/>
          <w:szCs w:val="24"/>
        </w:rPr>
      </w:pPr>
      <w:bookmarkStart w:id="30" w:name="_Toc529874068"/>
      <w:bookmarkStart w:id="31" w:name="_Toc7609269"/>
      <w:r w:rsidRPr="002A111A">
        <w:rPr>
          <w:rFonts w:cs="Arial"/>
          <w:szCs w:val="24"/>
        </w:rPr>
        <w:t>Overview of other relevant measures since 2013</w:t>
      </w:r>
      <w:bookmarkEnd w:id="30"/>
      <w:bookmarkEnd w:id="31"/>
    </w:p>
    <w:p w14:paraId="5F6C540F" w14:textId="77777777" w:rsidR="002A111A" w:rsidRDefault="002A111A" w:rsidP="00B446F1">
      <w:pPr>
        <w:ind w:left="567" w:hanging="567"/>
        <w:rPr>
          <w:rFonts w:cs="Arial"/>
          <w:szCs w:val="24"/>
        </w:rPr>
      </w:pPr>
    </w:p>
    <w:p w14:paraId="0BC13D20" w14:textId="078B5B51" w:rsidR="008E4ACD" w:rsidRPr="002A111A" w:rsidRDefault="004D18E3" w:rsidP="002A111A">
      <w:r w:rsidRPr="002A111A">
        <w:t>To our knowledge, there are no programs in Spain funded by the EU</w:t>
      </w:r>
      <w:r w:rsidR="00C66EE6" w:rsidRPr="002A111A">
        <w:t xml:space="preserve"> or other sources</w:t>
      </w:r>
      <w:r w:rsidRPr="002A111A">
        <w:t xml:space="preserve"> that are related to deinstitutionalization</w:t>
      </w:r>
      <w:r w:rsidR="00C37333" w:rsidRPr="002A111A">
        <w:t xml:space="preserve"> of people with disabilities</w:t>
      </w:r>
      <w:r w:rsidR="0022163C" w:rsidRPr="002A111A">
        <w:t xml:space="preserve">. There are not specific measures aimed at </w:t>
      </w:r>
      <w:r w:rsidR="0020410D" w:rsidRPr="002A111A">
        <w:t>deinstitutionalizing</w:t>
      </w:r>
      <w:r w:rsidR="0022163C" w:rsidRPr="002A111A">
        <w:t xml:space="preserve"> people with disabilities. As mentioned earlier, in Spain the right to live in an institution is claimed by different groups with disabilities. A significant proportion of the elderly who live in dependency situations require of institutions to live. Old people with significant intellectual disabilities and comorbid physical conditions consider the institutions their homes.</w:t>
      </w:r>
    </w:p>
    <w:p w14:paraId="0F529FA3" w14:textId="77777777" w:rsidR="00B5485B" w:rsidRPr="002A111A" w:rsidRDefault="00B5485B" w:rsidP="00B446F1">
      <w:pPr>
        <w:rPr>
          <w:rFonts w:cs="Arial"/>
          <w:b/>
          <w:szCs w:val="24"/>
        </w:rPr>
      </w:pPr>
    </w:p>
    <w:p w14:paraId="6FC2EDBA" w14:textId="3941869F" w:rsidR="008E4ACD" w:rsidRPr="002A111A" w:rsidRDefault="008E4ACD" w:rsidP="00B446F1">
      <w:pPr>
        <w:pStyle w:val="Heading2"/>
        <w:rPr>
          <w:rFonts w:cs="Arial"/>
          <w:szCs w:val="24"/>
        </w:rPr>
      </w:pPr>
      <w:bookmarkStart w:id="32" w:name="_Toc529874069"/>
      <w:bookmarkStart w:id="33" w:name="_Toc7609270"/>
      <w:r w:rsidRPr="002A111A">
        <w:rPr>
          <w:rFonts w:cs="Arial"/>
          <w:szCs w:val="24"/>
        </w:rPr>
        <w:t>Monitoring mechanism</w:t>
      </w:r>
      <w:r w:rsidR="00B5485B" w:rsidRPr="002A111A">
        <w:rPr>
          <w:rFonts w:cs="Arial"/>
          <w:szCs w:val="24"/>
        </w:rPr>
        <w:t>s</w:t>
      </w:r>
      <w:r w:rsidRPr="002A111A">
        <w:rPr>
          <w:rFonts w:cs="Arial"/>
          <w:szCs w:val="24"/>
        </w:rPr>
        <w:t xml:space="preserve"> and approach</w:t>
      </w:r>
      <w:r w:rsidR="00B5485B" w:rsidRPr="002A111A">
        <w:rPr>
          <w:rFonts w:cs="Arial"/>
          <w:szCs w:val="24"/>
        </w:rPr>
        <w:t>es</w:t>
      </w:r>
      <w:bookmarkEnd w:id="32"/>
      <w:bookmarkEnd w:id="33"/>
    </w:p>
    <w:p w14:paraId="2426FDA5" w14:textId="77777777" w:rsidR="00622FC0" w:rsidRPr="002A111A" w:rsidRDefault="00622FC0" w:rsidP="00B446F1">
      <w:pPr>
        <w:rPr>
          <w:rFonts w:cs="Arial"/>
          <w:szCs w:val="24"/>
        </w:rPr>
      </w:pPr>
    </w:p>
    <w:p w14:paraId="06DD6D33" w14:textId="1551187D" w:rsidR="008E4ACD" w:rsidRPr="002A111A" w:rsidRDefault="008E4ACD" w:rsidP="00B446F1">
      <w:pPr>
        <w:pStyle w:val="Heading3"/>
        <w:rPr>
          <w:rFonts w:cs="Arial"/>
          <w:szCs w:val="24"/>
        </w:rPr>
      </w:pPr>
      <w:r w:rsidRPr="002A111A">
        <w:rPr>
          <w:rFonts w:cs="Arial"/>
          <w:szCs w:val="24"/>
        </w:rPr>
        <w:t>Monitoring mechanism(s)</w:t>
      </w:r>
    </w:p>
    <w:p w14:paraId="1EFCAFF9" w14:textId="77777777" w:rsidR="002A111A" w:rsidRDefault="002A111A" w:rsidP="002A111A">
      <w:pPr>
        <w:rPr>
          <w:rFonts w:cs="Arial"/>
          <w:szCs w:val="24"/>
        </w:rPr>
      </w:pPr>
    </w:p>
    <w:p w14:paraId="77B2F13A" w14:textId="30F40BFC" w:rsidR="008E4ACD" w:rsidRPr="002A111A" w:rsidRDefault="004D18E3" w:rsidP="002A111A">
      <w:pPr>
        <w:rPr>
          <w:rFonts w:cs="Arial"/>
          <w:szCs w:val="24"/>
        </w:rPr>
      </w:pPr>
      <w:r w:rsidRPr="002A111A">
        <w:rPr>
          <w:rFonts w:cs="Arial"/>
          <w:szCs w:val="24"/>
        </w:rPr>
        <w:t>To our knowledge, there are no programs in Spain related to deinstitutionalization</w:t>
      </w:r>
      <w:r w:rsidR="002A111A">
        <w:rPr>
          <w:rFonts w:cs="Arial"/>
          <w:szCs w:val="24"/>
        </w:rPr>
        <w:t>.</w:t>
      </w:r>
    </w:p>
    <w:p w14:paraId="26DD24A6" w14:textId="77777777" w:rsidR="008E4ACD" w:rsidRPr="002A111A" w:rsidRDefault="008E4ACD" w:rsidP="00B446F1">
      <w:pPr>
        <w:pStyle w:val="ListParagraph"/>
        <w:rPr>
          <w:rFonts w:cs="Arial"/>
          <w:szCs w:val="24"/>
        </w:rPr>
      </w:pPr>
    </w:p>
    <w:p w14:paraId="0CD3C169" w14:textId="0A3B48C9" w:rsidR="008E4ACD" w:rsidRPr="002A111A" w:rsidRDefault="008E4ACD" w:rsidP="00B446F1">
      <w:pPr>
        <w:pStyle w:val="Heading3"/>
        <w:rPr>
          <w:rFonts w:cs="Arial"/>
          <w:szCs w:val="24"/>
        </w:rPr>
      </w:pPr>
      <w:r w:rsidRPr="002A111A">
        <w:rPr>
          <w:rFonts w:cs="Arial"/>
          <w:szCs w:val="24"/>
        </w:rPr>
        <w:t>Measurement and data collection</w:t>
      </w:r>
    </w:p>
    <w:p w14:paraId="5C340D49" w14:textId="77777777" w:rsidR="002A111A" w:rsidRDefault="002A111A" w:rsidP="002A111A">
      <w:pPr>
        <w:rPr>
          <w:rFonts w:cs="Arial"/>
          <w:szCs w:val="24"/>
        </w:rPr>
      </w:pPr>
    </w:p>
    <w:p w14:paraId="32AF891A" w14:textId="0E637478" w:rsidR="008E4ACD" w:rsidRPr="002A111A" w:rsidRDefault="004D18E3" w:rsidP="002A111A">
      <w:pPr>
        <w:rPr>
          <w:rFonts w:cs="Arial"/>
          <w:szCs w:val="24"/>
        </w:rPr>
      </w:pPr>
      <w:r w:rsidRPr="002A111A">
        <w:rPr>
          <w:rFonts w:cs="Arial"/>
          <w:szCs w:val="24"/>
        </w:rPr>
        <w:t>To our knowledge, there are no programs in Spain related to deinstitutionalization</w:t>
      </w:r>
      <w:r w:rsidR="002A111A">
        <w:rPr>
          <w:rFonts w:cs="Arial"/>
          <w:szCs w:val="24"/>
        </w:rPr>
        <w:t>.</w:t>
      </w:r>
    </w:p>
    <w:p w14:paraId="132B6784" w14:textId="77777777" w:rsidR="007645C8" w:rsidRPr="002A111A" w:rsidRDefault="007645C8" w:rsidP="00B446F1">
      <w:pPr>
        <w:rPr>
          <w:rFonts w:cs="Arial"/>
          <w:b/>
          <w:szCs w:val="24"/>
        </w:rPr>
      </w:pPr>
    </w:p>
    <w:p w14:paraId="032EE7DB" w14:textId="4739D31A" w:rsidR="008E4ACD" w:rsidRPr="002A111A" w:rsidRDefault="008E4ACD" w:rsidP="002A111A">
      <w:pPr>
        <w:pStyle w:val="Heading1"/>
      </w:pPr>
      <w:bookmarkStart w:id="34" w:name="_Toc529874070"/>
      <w:bookmarkStart w:id="35" w:name="_Toc7609271"/>
      <w:r w:rsidRPr="002A111A">
        <w:t>Impact and outcomes</w:t>
      </w:r>
      <w:bookmarkEnd w:id="34"/>
      <w:bookmarkEnd w:id="35"/>
    </w:p>
    <w:p w14:paraId="3981792D" w14:textId="77777777" w:rsidR="008E4ACD" w:rsidRPr="002A111A" w:rsidRDefault="008E4ACD" w:rsidP="00B446F1">
      <w:pPr>
        <w:rPr>
          <w:rFonts w:cs="Arial"/>
          <w:szCs w:val="24"/>
        </w:rPr>
      </w:pPr>
    </w:p>
    <w:p w14:paraId="37128B2B" w14:textId="208EE02F" w:rsidR="008E4ACD" w:rsidRPr="002A111A" w:rsidRDefault="008E4ACD" w:rsidP="00B446F1">
      <w:pPr>
        <w:pStyle w:val="Heading2"/>
        <w:rPr>
          <w:rFonts w:cs="Arial"/>
          <w:szCs w:val="24"/>
        </w:rPr>
      </w:pPr>
      <w:bookmarkStart w:id="36" w:name="_Toc529874071"/>
      <w:bookmarkStart w:id="37" w:name="_Toc7609272"/>
      <w:r w:rsidRPr="002A111A">
        <w:rPr>
          <w:rFonts w:cs="Arial"/>
          <w:szCs w:val="24"/>
        </w:rPr>
        <w:t>Progress against</w:t>
      </w:r>
      <w:r w:rsidR="00C60675" w:rsidRPr="002A111A">
        <w:rPr>
          <w:rFonts w:cs="Arial"/>
          <w:szCs w:val="24"/>
        </w:rPr>
        <w:t xml:space="preserve"> explicit</w:t>
      </w:r>
      <w:r w:rsidRPr="002A111A">
        <w:rPr>
          <w:rFonts w:cs="Arial"/>
          <w:szCs w:val="24"/>
        </w:rPr>
        <w:t xml:space="preserve"> targets and milestones</w:t>
      </w:r>
      <w:bookmarkEnd w:id="36"/>
      <w:bookmarkEnd w:id="37"/>
      <w:r w:rsidR="00C60675" w:rsidRPr="002A111A">
        <w:rPr>
          <w:rFonts w:cs="Arial"/>
          <w:szCs w:val="24"/>
        </w:rPr>
        <w:t xml:space="preserve"> </w:t>
      </w:r>
    </w:p>
    <w:p w14:paraId="408DAA8B" w14:textId="77777777" w:rsidR="002A111A" w:rsidRDefault="002A111A" w:rsidP="00B446F1">
      <w:pPr>
        <w:ind w:left="567" w:hanging="567"/>
        <w:rPr>
          <w:rFonts w:cs="Arial"/>
          <w:szCs w:val="24"/>
        </w:rPr>
      </w:pPr>
    </w:p>
    <w:p w14:paraId="5D71B69A" w14:textId="4843A39D" w:rsidR="008E4ACD" w:rsidRPr="002A111A" w:rsidRDefault="004D18E3" w:rsidP="00B446F1">
      <w:pPr>
        <w:ind w:left="567" w:hanging="567"/>
        <w:rPr>
          <w:rFonts w:cs="Arial"/>
          <w:szCs w:val="24"/>
        </w:rPr>
      </w:pPr>
      <w:r w:rsidRPr="002A111A">
        <w:rPr>
          <w:rFonts w:cs="Arial"/>
          <w:szCs w:val="24"/>
        </w:rPr>
        <w:t>To our knowledge, there are no programs in Spain related to deinstitutionalization</w:t>
      </w:r>
      <w:r w:rsidR="002A111A">
        <w:rPr>
          <w:rFonts w:cs="Arial"/>
          <w:szCs w:val="24"/>
        </w:rPr>
        <w:t>.</w:t>
      </w:r>
    </w:p>
    <w:p w14:paraId="6E7724CF" w14:textId="77777777" w:rsidR="008E4ACD" w:rsidRPr="002A111A" w:rsidRDefault="008E4ACD" w:rsidP="00B446F1">
      <w:pPr>
        <w:ind w:left="567" w:hanging="567"/>
        <w:rPr>
          <w:rFonts w:cs="Arial"/>
          <w:b/>
          <w:szCs w:val="24"/>
        </w:rPr>
      </w:pPr>
    </w:p>
    <w:p w14:paraId="6BCC047F" w14:textId="77777777" w:rsidR="00205446" w:rsidRPr="002A111A" w:rsidRDefault="008E4ACD" w:rsidP="002A111A">
      <w:pPr>
        <w:pStyle w:val="Heading2"/>
      </w:pPr>
      <w:bookmarkStart w:id="38" w:name="_Toc529874072"/>
      <w:bookmarkStart w:id="39" w:name="_Toc7609273"/>
      <w:r w:rsidRPr="002A111A">
        <w:t>What is replacing institutional care</w:t>
      </w:r>
      <w:r w:rsidR="00205446" w:rsidRPr="002A111A">
        <w:t>?</w:t>
      </w:r>
      <w:bookmarkEnd w:id="38"/>
      <w:bookmarkEnd w:id="39"/>
    </w:p>
    <w:p w14:paraId="0CD55A2D" w14:textId="77777777" w:rsidR="00205446" w:rsidRPr="002A111A" w:rsidRDefault="00205446" w:rsidP="002A111A"/>
    <w:p w14:paraId="6FF12252" w14:textId="0452F228" w:rsidR="00173EF0" w:rsidRPr="002A111A" w:rsidRDefault="00173EF0" w:rsidP="002A111A">
      <w:pPr>
        <w:pStyle w:val="Heading3"/>
      </w:pPr>
      <w:r w:rsidRPr="002A111A">
        <w:t>At the point that persons with disabilities are being moved out of institutional care facilities, what types of accommodation and support are they being moved into?</w:t>
      </w:r>
    </w:p>
    <w:p w14:paraId="338F46A1" w14:textId="77777777" w:rsidR="002A111A" w:rsidRDefault="002A111A" w:rsidP="002A111A"/>
    <w:p w14:paraId="4C3DE1F2" w14:textId="2F9A8176" w:rsidR="00C15B80" w:rsidRDefault="00136723" w:rsidP="002A111A">
      <w:r w:rsidRPr="002A111A">
        <w:t>People with disabilities are mostly out</w:t>
      </w:r>
      <w:r w:rsidR="00C53017" w:rsidRPr="002A111A">
        <w:t xml:space="preserve"> of</w:t>
      </w:r>
      <w:r w:rsidRPr="002A111A">
        <w:t xml:space="preserve"> institutional care. Only those with the most severe intellectual disabilities, are living in institutions. There are no plans to move these persons out of the institutions, as those facilities are perceived as the best alternatives for those persons.</w:t>
      </w:r>
      <w:r w:rsidR="005725FC" w:rsidRPr="002A111A">
        <w:t xml:space="preserve"> No debate on how this attitude fits with Article 19 of the CRPD</w:t>
      </w:r>
      <w:r w:rsidRPr="002A111A">
        <w:t xml:space="preserve"> </w:t>
      </w:r>
      <w:r w:rsidR="005725FC" w:rsidRPr="002A111A">
        <w:t xml:space="preserve">has been </w:t>
      </w:r>
      <w:r w:rsidR="00781773" w:rsidRPr="002A111A">
        <w:t xml:space="preserve">started. </w:t>
      </w:r>
      <w:r w:rsidRPr="002A111A">
        <w:t xml:space="preserve">The same can be said concerning institutionalized </w:t>
      </w:r>
      <w:r w:rsidR="00F053C9" w:rsidRPr="002A111A">
        <w:t xml:space="preserve">elderly </w:t>
      </w:r>
      <w:r w:rsidRPr="002A111A">
        <w:t>population. The profile corresponds to very old</w:t>
      </w:r>
      <w:r w:rsidR="00F053C9" w:rsidRPr="002A111A">
        <w:t xml:space="preserve"> people</w:t>
      </w:r>
      <w:r w:rsidRPr="002A111A">
        <w:t>, with significant cognitive or physical impairments.</w:t>
      </w:r>
      <w:r w:rsidR="00BB49E8" w:rsidRPr="002A111A">
        <w:t xml:space="preserve"> There is not social pressure nor social movement aimed at deinstitutionalizing people with the most significant disabilities, even though</w:t>
      </w:r>
      <w:r w:rsidR="00FB0B2E" w:rsidRPr="002A111A">
        <w:t>, as stressed by some organi</w:t>
      </w:r>
      <w:r w:rsidR="00EE2C62">
        <w:t>s</w:t>
      </w:r>
      <w:r w:rsidR="00FB0B2E" w:rsidRPr="002A111A">
        <w:t>ations</w:t>
      </w:r>
      <w:r w:rsidR="002A111A">
        <w:t>,</w:t>
      </w:r>
      <w:r w:rsidR="00FB0B2E" w:rsidRPr="002A111A">
        <w:rPr>
          <w:rStyle w:val="FootnoteReference"/>
          <w:rFonts w:cs="Arial"/>
          <w:sz w:val="24"/>
          <w:szCs w:val="24"/>
        </w:rPr>
        <w:footnoteReference w:id="36"/>
      </w:r>
      <w:r w:rsidR="00FB0B2E" w:rsidRPr="002A111A">
        <w:t xml:space="preserve"> this</w:t>
      </w:r>
      <w:r w:rsidR="00BB49E8" w:rsidRPr="002A111A">
        <w:t xml:space="preserve"> is contrary to </w:t>
      </w:r>
      <w:r w:rsidR="00EE2C62">
        <w:t>A</w:t>
      </w:r>
      <w:r w:rsidR="00BB49E8" w:rsidRPr="002A111A">
        <w:t xml:space="preserve">rticle 19, which extends the right </w:t>
      </w:r>
      <w:r w:rsidR="00BB49E8" w:rsidRPr="002A111A">
        <w:lastRenderedPageBreak/>
        <w:t>to live independently and be included in the community to all persons with disabilities, regardless of their level of intellectual capacity, self-functioning or support requirements</w:t>
      </w:r>
      <w:r w:rsidR="00C15B80" w:rsidRPr="002A111A">
        <w:t>.</w:t>
      </w:r>
    </w:p>
    <w:p w14:paraId="0B326891" w14:textId="77777777" w:rsidR="002A111A" w:rsidRPr="002A111A" w:rsidRDefault="002A111A" w:rsidP="002A111A"/>
    <w:p w14:paraId="10BEA9EA" w14:textId="2D977895" w:rsidR="00173EF0" w:rsidRPr="002A111A" w:rsidRDefault="00C15B80" w:rsidP="002A111A">
      <w:r w:rsidRPr="002A111A">
        <w:t>Some initiatives as “mi Casa” (my home) project, are being developed by Plena Inclusion “to develop housing models in the community for all people, especially those who have greater support needs and who are generally excluded from inclusive and more personalized housing models</w:t>
      </w:r>
      <w:r w:rsidR="002A111A">
        <w:t>.</w:t>
      </w:r>
      <w:r w:rsidRPr="002A111A">
        <w:t>”</w:t>
      </w:r>
      <w:r w:rsidRPr="002A111A">
        <w:rPr>
          <w:rStyle w:val="FootnoteReference"/>
          <w:rFonts w:cs="Arial"/>
          <w:sz w:val="24"/>
          <w:szCs w:val="24"/>
        </w:rPr>
        <w:footnoteReference w:id="37"/>
      </w:r>
    </w:p>
    <w:p w14:paraId="7D892EE0" w14:textId="77777777" w:rsidR="00173EF0" w:rsidRPr="002A111A" w:rsidRDefault="00173EF0" w:rsidP="00B446F1">
      <w:pPr>
        <w:rPr>
          <w:rFonts w:cs="Arial"/>
          <w:b/>
          <w:szCs w:val="24"/>
        </w:rPr>
      </w:pPr>
    </w:p>
    <w:p w14:paraId="12D84269" w14:textId="0D3D97B6" w:rsidR="00205446" w:rsidRPr="002A111A" w:rsidRDefault="00173EF0" w:rsidP="00B446F1">
      <w:pPr>
        <w:pStyle w:val="Heading3"/>
        <w:rPr>
          <w:rFonts w:cs="Arial"/>
          <w:szCs w:val="24"/>
        </w:rPr>
      </w:pPr>
      <w:r w:rsidRPr="002A111A">
        <w:rPr>
          <w:rFonts w:cs="Arial"/>
          <w:szCs w:val="24"/>
        </w:rPr>
        <w:t xml:space="preserve">What services, supports and measures are being developed and instituted to build long term support for the right to live independently and to be included in the community? </w:t>
      </w:r>
    </w:p>
    <w:p w14:paraId="4FC348D2" w14:textId="77777777" w:rsidR="002A111A" w:rsidRDefault="002A111A" w:rsidP="00B446F1">
      <w:pPr>
        <w:ind w:left="567" w:hanging="567"/>
        <w:rPr>
          <w:rFonts w:cs="Arial"/>
          <w:szCs w:val="24"/>
        </w:rPr>
      </w:pPr>
    </w:p>
    <w:p w14:paraId="0D787384" w14:textId="1F92BC55" w:rsidR="00205446" w:rsidRPr="002A111A" w:rsidRDefault="00123903" w:rsidP="002A111A">
      <w:r w:rsidRPr="002A111A">
        <w:t xml:space="preserve">Measures consist </w:t>
      </w:r>
      <w:r w:rsidR="00F053C9" w:rsidRPr="002A111A">
        <w:t>of</w:t>
      </w:r>
      <w:r w:rsidRPr="002A111A">
        <w:t xml:space="preserve"> removing physical barriers of buildings, providing personal assistants, financial support, community services, etc., for the </w:t>
      </w:r>
      <w:proofErr w:type="gramStart"/>
      <w:r w:rsidRPr="002A111A">
        <w:t>vast majority</w:t>
      </w:r>
      <w:proofErr w:type="gramEnd"/>
      <w:r w:rsidRPr="002A111A">
        <w:t xml:space="preserve"> of people with disabilities.</w:t>
      </w:r>
      <w:r w:rsidR="00CE61D5" w:rsidRPr="002A111A">
        <w:t xml:space="preserve"> </w:t>
      </w:r>
      <w:r w:rsidRPr="002A111A">
        <w:t>Additional supports consist on Education, Health, and Social Services, which are universal and public in Spain</w:t>
      </w:r>
      <w:r w:rsidR="002A111A">
        <w:t>.</w:t>
      </w:r>
    </w:p>
    <w:p w14:paraId="60F4395C" w14:textId="77777777" w:rsidR="00173EF0" w:rsidRPr="002A111A" w:rsidRDefault="00173EF0" w:rsidP="002A111A"/>
    <w:p w14:paraId="14497749" w14:textId="5DD69069" w:rsidR="008E4ACD" w:rsidRPr="002A111A" w:rsidRDefault="008E4ACD" w:rsidP="00B446F1">
      <w:pPr>
        <w:pStyle w:val="Heading2"/>
        <w:rPr>
          <w:rFonts w:cs="Arial"/>
          <w:szCs w:val="24"/>
        </w:rPr>
      </w:pPr>
      <w:bookmarkStart w:id="40" w:name="_Toc529874073"/>
      <w:bookmarkStart w:id="41" w:name="_Toc7609274"/>
      <w:r w:rsidRPr="002A111A">
        <w:rPr>
          <w:rFonts w:cs="Arial"/>
          <w:szCs w:val="24"/>
        </w:rPr>
        <w:t xml:space="preserve">Satisfaction </w:t>
      </w:r>
      <w:r w:rsidR="007A1049" w:rsidRPr="002A111A">
        <w:rPr>
          <w:rFonts w:cs="Arial"/>
          <w:szCs w:val="24"/>
        </w:rPr>
        <w:t xml:space="preserve">levels </w:t>
      </w:r>
      <w:r w:rsidRPr="002A111A">
        <w:rPr>
          <w:rFonts w:cs="Arial"/>
          <w:szCs w:val="24"/>
        </w:rPr>
        <w:t>among persons with disabilities</w:t>
      </w:r>
      <w:bookmarkEnd w:id="40"/>
      <w:bookmarkEnd w:id="41"/>
    </w:p>
    <w:p w14:paraId="2A5FECD7" w14:textId="77777777" w:rsidR="002A111A" w:rsidRDefault="002A111A" w:rsidP="00B446F1">
      <w:pPr>
        <w:rPr>
          <w:rFonts w:cs="Arial"/>
          <w:szCs w:val="24"/>
        </w:rPr>
      </w:pPr>
    </w:p>
    <w:p w14:paraId="6171DE78" w14:textId="69D416C2" w:rsidR="00535AB8" w:rsidRDefault="00FB0B2E" w:rsidP="00B446F1">
      <w:pPr>
        <w:rPr>
          <w:rFonts w:cs="Arial"/>
          <w:szCs w:val="24"/>
        </w:rPr>
      </w:pPr>
      <w:r w:rsidRPr="002A111A">
        <w:rPr>
          <w:rFonts w:cs="Arial"/>
          <w:szCs w:val="24"/>
        </w:rPr>
        <w:t xml:space="preserve">Some private projects have been implemented in this regard. For example, </w:t>
      </w:r>
      <w:r w:rsidR="00CE61D5" w:rsidRPr="002A111A">
        <w:rPr>
          <w:rFonts w:cs="Arial"/>
          <w:szCs w:val="24"/>
        </w:rPr>
        <w:t xml:space="preserve">Fundación </w:t>
      </w:r>
      <w:proofErr w:type="spellStart"/>
      <w:r w:rsidR="00CE61D5" w:rsidRPr="002A111A">
        <w:rPr>
          <w:rFonts w:cs="Arial"/>
          <w:szCs w:val="24"/>
        </w:rPr>
        <w:t>Pilares</w:t>
      </w:r>
      <w:proofErr w:type="spellEnd"/>
      <w:r w:rsidR="00CE61D5" w:rsidRPr="002A111A">
        <w:rPr>
          <w:rFonts w:cs="Arial"/>
          <w:szCs w:val="24"/>
        </w:rPr>
        <w:t xml:space="preserve"> (2017)</w:t>
      </w:r>
      <w:r w:rsidR="002A111A">
        <w:rPr>
          <w:rFonts w:cs="Arial"/>
          <w:szCs w:val="24"/>
        </w:rPr>
        <w:t>,</w:t>
      </w:r>
      <w:r w:rsidR="00CE61D5" w:rsidRPr="002A111A">
        <w:rPr>
          <w:rStyle w:val="FootnoteReference"/>
          <w:rFonts w:eastAsiaTheme="minorEastAsia" w:cs="Arial"/>
          <w:sz w:val="24"/>
          <w:szCs w:val="24"/>
        </w:rPr>
        <w:footnoteReference w:id="38"/>
      </w:r>
      <w:r w:rsidR="00C76EB4" w:rsidRPr="002A111A">
        <w:rPr>
          <w:rFonts w:cs="Arial"/>
          <w:szCs w:val="24"/>
        </w:rPr>
        <w:t xml:space="preserve"> a private and NGO</w:t>
      </w:r>
      <w:r w:rsidR="00CE61D5" w:rsidRPr="002A111A">
        <w:rPr>
          <w:rFonts w:cs="Arial"/>
          <w:szCs w:val="24"/>
        </w:rPr>
        <w:t>, is developing a project for people with disabilities and the elderly to live in their community.</w:t>
      </w:r>
      <w:r w:rsidR="00F053C9" w:rsidRPr="002A111A">
        <w:rPr>
          <w:rFonts w:cs="Arial"/>
          <w:szCs w:val="24"/>
        </w:rPr>
        <w:t xml:space="preserve"> </w:t>
      </w:r>
      <w:r w:rsidR="00CE61D5" w:rsidRPr="002A111A">
        <w:rPr>
          <w:rFonts w:cs="Arial"/>
          <w:szCs w:val="24"/>
        </w:rPr>
        <w:t>The first results of the evaluation (2014-2015) show, among others, improvements in the quality of life, well-being and satisfaction of both the people served and their families</w:t>
      </w:r>
      <w:r w:rsidR="0020410D">
        <w:rPr>
          <w:rFonts w:cs="Arial"/>
          <w:szCs w:val="24"/>
        </w:rPr>
        <w:t>’</w:t>
      </w:r>
      <w:r w:rsidR="00CE61D5" w:rsidRPr="002A111A">
        <w:rPr>
          <w:rFonts w:cs="Arial"/>
          <w:szCs w:val="24"/>
        </w:rPr>
        <w:t xml:space="preserve"> </w:t>
      </w:r>
      <w:r w:rsidR="00F053C9" w:rsidRPr="002A111A">
        <w:rPr>
          <w:rFonts w:cs="Arial"/>
          <w:szCs w:val="24"/>
        </w:rPr>
        <w:t>caregivers</w:t>
      </w:r>
      <w:r w:rsidR="00CE61D5" w:rsidRPr="002A111A">
        <w:rPr>
          <w:rFonts w:cs="Arial"/>
          <w:szCs w:val="24"/>
        </w:rPr>
        <w:t>.</w:t>
      </w:r>
      <w:r w:rsidR="00E10F2D" w:rsidRPr="002A111A">
        <w:rPr>
          <w:rFonts w:cs="Arial"/>
          <w:szCs w:val="24"/>
        </w:rPr>
        <w:t xml:space="preserve"> </w:t>
      </w:r>
    </w:p>
    <w:p w14:paraId="7E11FA28" w14:textId="77777777" w:rsidR="002A111A" w:rsidRPr="002A111A" w:rsidRDefault="002A111A" w:rsidP="00B446F1">
      <w:pPr>
        <w:rPr>
          <w:rFonts w:cs="Arial"/>
          <w:szCs w:val="24"/>
        </w:rPr>
      </w:pPr>
    </w:p>
    <w:p w14:paraId="68708F36" w14:textId="2986B8E3" w:rsidR="008E4ACD" w:rsidRPr="002A111A" w:rsidRDefault="00E10F2D" w:rsidP="00B446F1">
      <w:pPr>
        <w:autoSpaceDE w:val="0"/>
        <w:autoSpaceDN w:val="0"/>
        <w:adjustRightInd w:val="0"/>
        <w:rPr>
          <w:rFonts w:cs="Arial"/>
          <w:szCs w:val="24"/>
        </w:rPr>
      </w:pPr>
      <w:proofErr w:type="spellStart"/>
      <w:r w:rsidRPr="002A111A">
        <w:rPr>
          <w:rFonts w:cs="Arial"/>
          <w:szCs w:val="24"/>
        </w:rPr>
        <w:t>Pallisera</w:t>
      </w:r>
      <w:proofErr w:type="spellEnd"/>
      <w:r w:rsidRPr="002A111A">
        <w:rPr>
          <w:rFonts w:cs="Arial"/>
          <w:szCs w:val="24"/>
        </w:rPr>
        <w:t xml:space="preserve"> et al. (2018)</w:t>
      </w:r>
      <w:r w:rsidR="00535B9C" w:rsidRPr="002A111A">
        <w:rPr>
          <w:rStyle w:val="FootnoteReference"/>
          <w:rFonts w:cs="Arial"/>
          <w:sz w:val="24"/>
          <w:szCs w:val="24"/>
        </w:rPr>
        <w:footnoteReference w:id="39"/>
      </w:r>
      <w:r w:rsidRPr="002A111A">
        <w:rPr>
          <w:rFonts w:cs="Arial"/>
          <w:szCs w:val="24"/>
        </w:rPr>
        <w:t xml:space="preserve"> conducted a qualitative research study </w:t>
      </w:r>
      <w:proofErr w:type="gramStart"/>
      <w:r w:rsidRPr="002A111A">
        <w:rPr>
          <w:rFonts w:cs="Arial"/>
          <w:szCs w:val="24"/>
        </w:rPr>
        <w:t>on the situation of</w:t>
      </w:r>
      <w:proofErr w:type="gramEnd"/>
      <w:r w:rsidRPr="002A111A">
        <w:rPr>
          <w:rFonts w:cs="Arial"/>
          <w:szCs w:val="24"/>
        </w:rPr>
        <w:t xml:space="preserve"> people with intellectual disabilities with respect to their right to independent living. The authors </w:t>
      </w:r>
      <w:r w:rsidR="00535AB8" w:rsidRPr="002A111A">
        <w:rPr>
          <w:rFonts w:cs="Arial"/>
          <w:szCs w:val="24"/>
        </w:rPr>
        <w:t>analyse</w:t>
      </w:r>
      <w:r w:rsidRPr="002A111A">
        <w:rPr>
          <w:rFonts w:cs="Arial"/>
          <w:szCs w:val="24"/>
        </w:rPr>
        <w:t xml:space="preserve"> the barriers, supports and challenges that affect the exercise of this right, through 10 focus groups and 22 individual interviews to people with intellectual disabilities, and 5 focus groups with families and 33 individual interviews with professionals. The results of the research highlight the need to guarantee the universality of the right to independent life (it is a right and not a privilege), offer personali</w:t>
      </w:r>
      <w:r w:rsidR="002A111A">
        <w:rPr>
          <w:rFonts w:cs="Arial"/>
          <w:szCs w:val="24"/>
        </w:rPr>
        <w:t>s</w:t>
      </w:r>
      <w:r w:rsidRPr="002A111A">
        <w:rPr>
          <w:rFonts w:cs="Arial"/>
          <w:szCs w:val="24"/>
        </w:rPr>
        <w:t>ed quality support and develop training and awareness-raising actions on rights with the different actors involved.</w:t>
      </w:r>
      <w:r w:rsidR="00D95907" w:rsidRPr="002A111A">
        <w:rPr>
          <w:rFonts w:cs="Arial"/>
          <w:szCs w:val="24"/>
        </w:rPr>
        <w:t xml:space="preserve"> </w:t>
      </w:r>
      <w:proofErr w:type="spellStart"/>
      <w:r w:rsidR="00D95907" w:rsidRPr="002A111A">
        <w:rPr>
          <w:rFonts w:cs="Arial"/>
          <w:szCs w:val="24"/>
        </w:rPr>
        <w:t>Navas</w:t>
      </w:r>
      <w:proofErr w:type="spellEnd"/>
      <w:r w:rsidR="00D95907" w:rsidRPr="002A111A">
        <w:rPr>
          <w:rFonts w:cs="Arial"/>
          <w:szCs w:val="24"/>
        </w:rPr>
        <w:t xml:space="preserve"> et al. </w:t>
      </w:r>
      <w:r w:rsidR="00535B9C" w:rsidRPr="002A111A">
        <w:rPr>
          <w:rFonts w:cs="Arial"/>
          <w:szCs w:val="24"/>
        </w:rPr>
        <w:t>(2017)</w:t>
      </w:r>
      <w:r w:rsidR="00535B9C" w:rsidRPr="002A111A">
        <w:rPr>
          <w:rStyle w:val="FootnoteReference"/>
          <w:rFonts w:cs="Arial"/>
          <w:sz w:val="24"/>
          <w:szCs w:val="24"/>
        </w:rPr>
        <w:footnoteReference w:id="40"/>
      </w:r>
      <w:r w:rsidR="00535B9C" w:rsidRPr="002A111A">
        <w:rPr>
          <w:rFonts w:cs="Arial"/>
          <w:szCs w:val="24"/>
        </w:rPr>
        <w:t xml:space="preserve"> </w:t>
      </w:r>
      <w:r w:rsidR="00D95907" w:rsidRPr="002A111A">
        <w:rPr>
          <w:rFonts w:cs="Arial"/>
          <w:szCs w:val="24"/>
        </w:rPr>
        <w:t xml:space="preserve">published a research on </w:t>
      </w:r>
      <w:r w:rsidR="00D95907" w:rsidRPr="002A111A">
        <w:rPr>
          <w:rFonts w:cs="Arial"/>
          <w:szCs w:val="24"/>
        </w:rPr>
        <w:lastRenderedPageBreak/>
        <w:t>Rights and quality of life of individuals with intellectual disability and extensive support needs. They conclude that disparities observed indicate the urgency of improving the knowledge about the living conditions of people with more significant ID and drive better practices in the provision of supports.</w:t>
      </w:r>
    </w:p>
    <w:p w14:paraId="413300DB" w14:textId="47305348" w:rsidR="002A111A" w:rsidRDefault="002A111A">
      <w:pPr>
        <w:spacing w:after="200" w:line="276" w:lineRule="auto"/>
        <w:jc w:val="left"/>
      </w:pPr>
      <w:r>
        <w:br w:type="page"/>
      </w:r>
    </w:p>
    <w:p w14:paraId="5CB49D29" w14:textId="77777777" w:rsidR="008E4ACD" w:rsidRPr="002A111A" w:rsidRDefault="008E4ACD" w:rsidP="00B446F1">
      <w:pPr>
        <w:pStyle w:val="Heading1"/>
        <w:numPr>
          <w:ilvl w:val="0"/>
          <w:numId w:val="0"/>
        </w:numPr>
        <w:rPr>
          <w:rFonts w:cs="Arial"/>
          <w:szCs w:val="24"/>
        </w:rPr>
      </w:pPr>
      <w:bookmarkStart w:id="42" w:name="_Toc529874074"/>
      <w:bookmarkStart w:id="43" w:name="_Toc7609275"/>
      <w:r w:rsidRPr="002A111A">
        <w:rPr>
          <w:rFonts w:cs="Arial"/>
          <w:szCs w:val="24"/>
        </w:rPr>
        <w:lastRenderedPageBreak/>
        <w:t xml:space="preserve">PART B – </w:t>
      </w:r>
      <w:r w:rsidR="00DA2456" w:rsidRPr="002A111A">
        <w:rPr>
          <w:rFonts w:cs="Arial"/>
          <w:szCs w:val="24"/>
        </w:rPr>
        <w:t>C</w:t>
      </w:r>
      <w:r w:rsidRPr="002A111A">
        <w:rPr>
          <w:rFonts w:cs="Arial"/>
          <w:szCs w:val="24"/>
        </w:rPr>
        <w:t>ritique and evaluation</w:t>
      </w:r>
      <w:bookmarkEnd w:id="42"/>
      <w:bookmarkEnd w:id="43"/>
    </w:p>
    <w:p w14:paraId="17FE124D" w14:textId="77777777" w:rsidR="008E4ACD" w:rsidRPr="002A111A" w:rsidRDefault="008E4ACD" w:rsidP="00B446F1">
      <w:pPr>
        <w:rPr>
          <w:rFonts w:cs="Arial"/>
          <w:b/>
          <w:szCs w:val="24"/>
        </w:rPr>
      </w:pPr>
    </w:p>
    <w:p w14:paraId="0910D6BD" w14:textId="77777777" w:rsidR="008E4ACD" w:rsidRPr="002A111A" w:rsidRDefault="008E4ACD" w:rsidP="00B446F1">
      <w:pPr>
        <w:pStyle w:val="Heading1"/>
        <w:numPr>
          <w:ilvl w:val="0"/>
          <w:numId w:val="23"/>
        </w:numPr>
        <w:rPr>
          <w:rFonts w:cs="Arial"/>
          <w:szCs w:val="24"/>
        </w:rPr>
      </w:pPr>
      <w:bookmarkStart w:id="44" w:name="_Toc529874075"/>
      <w:bookmarkStart w:id="45" w:name="_Toc7609276"/>
      <w:r w:rsidRPr="002A111A">
        <w:rPr>
          <w:rFonts w:cs="Arial"/>
          <w:szCs w:val="24"/>
        </w:rPr>
        <w:t>Observations and recommendations of official bodies</w:t>
      </w:r>
      <w:bookmarkEnd w:id="44"/>
      <w:bookmarkEnd w:id="45"/>
    </w:p>
    <w:p w14:paraId="660ABE11" w14:textId="77777777" w:rsidR="008E4ACD" w:rsidRPr="00A32975" w:rsidRDefault="008E4ACD" w:rsidP="00A32975">
      <w:pPr>
        <w:rPr>
          <w:rFonts w:cs="Arial"/>
          <w:b/>
          <w:szCs w:val="24"/>
        </w:rPr>
      </w:pPr>
    </w:p>
    <w:p w14:paraId="452A6EDD" w14:textId="169F9A92" w:rsidR="008E4ACD" w:rsidRPr="002A111A" w:rsidRDefault="008E4ACD" w:rsidP="00B446F1">
      <w:pPr>
        <w:pStyle w:val="Heading2"/>
        <w:rPr>
          <w:rFonts w:cs="Arial"/>
          <w:szCs w:val="24"/>
        </w:rPr>
      </w:pPr>
      <w:bookmarkStart w:id="46" w:name="_Toc529874076"/>
      <w:bookmarkStart w:id="47" w:name="_Toc7609277"/>
      <w:r w:rsidRPr="002A111A">
        <w:rPr>
          <w:rFonts w:cs="Arial"/>
          <w:szCs w:val="24"/>
        </w:rPr>
        <w:t>Observations by the UN Committee on the Rights of Persons with Disabilities</w:t>
      </w:r>
      <w:bookmarkEnd w:id="46"/>
      <w:r w:rsidR="00C15268" w:rsidRPr="002A111A">
        <w:rPr>
          <w:rFonts w:cs="Arial"/>
          <w:szCs w:val="24"/>
        </w:rPr>
        <w:t xml:space="preserve"> on Article 19</w:t>
      </w:r>
      <w:bookmarkEnd w:id="47"/>
    </w:p>
    <w:p w14:paraId="3CA4610D" w14:textId="77777777" w:rsidR="00A32975" w:rsidRDefault="00A32975" w:rsidP="00B446F1">
      <w:pPr>
        <w:rPr>
          <w:rFonts w:cs="Arial"/>
          <w:szCs w:val="24"/>
        </w:rPr>
      </w:pPr>
    </w:p>
    <w:p w14:paraId="465E14E7" w14:textId="16594284" w:rsidR="0023053C" w:rsidRDefault="0023053C" w:rsidP="00B446F1">
      <w:pPr>
        <w:rPr>
          <w:rFonts w:cs="Arial"/>
          <w:szCs w:val="24"/>
        </w:rPr>
      </w:pPr>
      <w:r w:rsidRPr="002A111A">
        <w:rPr>
          <w:rFonts w:cs="Arial"/>
          <w:szCs w:val="24"/>
        </w:rPr>
        <w:t>In 2017, the UNCRPD</w:t>
      </w:r>
      <w:r w:rsidRPr="002A111A">
        <w:rPr>
          <w:rStyle w:val="FootnoteReference"/>
          <w:rFonts w:cs="Arial"/>
          <w:sz w:val="24"/>
          <w:szCs w:val="24"/>
        </w:rPr>
        <w:footnoteReference w:id="41"/>
      </w:r>
      <w:r w:rsidRPr="002A111A">
        <w:rPr>
          <w:rFonts w:cs="Arial"/>
          <w:szCs w:val="24"/>
        </w:rPr>
        <w:t xml:space="preserve"> asked Spain to provide information on efforts, including legislative reforms, to ensure that laws, policies and procedures, mainly those related to the recognition and identification of disability, including the Personal Autonomy Promotion Act, employ a human rights-based approach to disability, and to review the requirements for recognition of dependency and the system for evaluating it in order to bring them into line with the Convention. They also requested Spain describe in detail the funding, the amount of resources used by Autonomous Communities and the proposed measures for making services and economic benefits for personal care available more quickly for accredited persons, making these available to more persons in need of them and guaranteeing equal coverage in all Autonomous Communities irrespective of the place of residence of the persons with disabilities. In addition, Spain should indicate how the generalized system of co-payment by individuals for support services is regulated, and what happens to persons with disabilities who are unable to provide the requisite contribution. Finally</w:t>
      </w:r>
      <w:r w:rsidR="00EE2C62">
        <w:rPr>
          <w:rFonts w:cs="Arial"/>
          <w:szCs w:val="24"/>
        </w:rPr>
        <w:t>,</w:t>
      </w:r>
      <w:r w:rsidRPr="002A111A">
        <w:rPr>
          <w:rFonts w:cs="Arial"/>
          <w:szCs w:val="24"/>
        </w:rPr>
        <w:t xml:space="preserve"> to confirm whether the elimination of co-payment in all Autonomous Communities is envisaged.</w:t>
      </w:r>
    </w:p>
    <w:p w14:paraId="76782D83" w14:textId="77777777" w:rsidR="00A32975" w:rsidRPr="002A111A" w:rsidRDefault="00A32975" w:rsidP="00B446F1">
      <w:pPr>
        <w:rPr>
          <w:rFonts w:cs="Arial"/>
          <w:szCs w:val="24"/>
        </w:rPr>
      </w:pPr>
    </w:p>
    <w:p w14:paraId="2254AB33" w14:textId="77A49282" w:rsidR="0023053C" w:rsidRPr="002A111A" w:rsidRDefault="0023053C" w:rsidP="00B446F1">
      <w:pPr>
        <w:rPr>
          <w:rFonts w:cs="Arial"/>
          <w:color w:val="333333"/>
          <w:szCs w:val="24"/>
        </w:rPr>
      </w:pPr>
      <w:r w:rsidRPr="002A111A">
        <w:rPr>
          <w:rFonts w:cs="Arial"/>
          <w:szCs w:val="24"/>
        </w:rPr>
        <w:t xml:space="preserve">The UNCRPD asked as well to explain the measure to guarantee nationwide the recognition of the right of persons with disabilities to choose their place of residence and have access to a range of social services, community support and other services for daily living, including personal assistance </w:t>
      </w:r>
      <w:proofErr w:type="gramStart"/>
      <w:r w:rsidRPr="002A111A">
        <w:rPr>
          <w:rFonts w:cs="Arial"/>
          <w:szCs w:val="24"/>
        </w:rPr>
        <w:t>on the basis of</w:t>
      </w:r>
      <w:proofErr w:type="gramEnd"/>
      <w:r w:rsidRPr="002A111A">
        <w:rPr>
          <w:rFonts w:cs="Arial"/>
          <w:szCs w:val="24"/>
        </w:rPr>
        <w:t xml:space="preserve"> individual requirements, rather than in pre-determined quantities. Also, to indicate whether it is intended to regulate personal assistance and whether there is any distinction between that system and that of the caretaker</w:t>
      </w:r>
      <w:r w:rsidR="00EE2C62">
        <w:rPr>
          <w:rFonts w:cs="Arial"/>
          <w:szCs w:val="24"/>
        </w:rPr>
        <w:t>.</w:t>
      </w:r>
      <w:r w:rsidRPr="002A111A">
        <w:rPr>
          <w:rStyle w:val="FootnoteReference"/>
          <w:rFonts w:cs="Arial"/>
          <w:sz w:val="24"/>
          <w:szCs w:val="24"/>
        </w:rPr>
        <w:footnoteReference w:id="42"/>
      </w:r>
      <w:r w:rsidRPr="002A111A">
        <w:rPr>
          <w:rFonts w:cs="Arial"/>
          <w:color w:val="333333"/>
          <w:szCs w:val="24"/>
        </w:rPr>
        <w:t xml:space="preserve"> </w:t>
      </w:r>
    </w:p>
    <w:p w14:paraId="079D7E26" w14:textId="77777777" w:rsidR="00B9266F" w:rsidRPr="002A111A" w:rsidRDefault="00B9266F" w:rsidP="00B446F1">
      <w:pPr>
        <w:rPr>
          <w:rFonts w:cs="Arial"/>
          <w:color w:val="333333"/>
          <w:szCs w:val="24"/>
        </w:rPr>
      </w:pPr>
    </w:p>
    <w:p w14:paraId="25388FBB" w14:textId="4C67F926" w:rsidR="0023053C" w:rsidRDefault="0023053C" w:rsidP="00A32975">
      <w:r w:rsidRPr="002A111A">
        <w:t>To answer these questions, the report presented by Spain in 2018 on the follow-up of the actions that are being carried out regarding the safeguarding of the rights of persons with disabilities stated in the CRPD, some actions that are being carried out</w:t>
      </w:r>
      <w:r w:rsidR="00A32975">
        <w:t>.</w:t>
      </w:r>
      <w:r w:rsidRPr="00A32975">
        <w:rPr>
          <w:rStyle w:val="FootnoteReference"/>
          <w:rFonts w:eastAsiaTheme="majorEastAsia" w:cs="Arial"/>
          <w:sz w:val="24"/>
          <w:szCs w:val="24"/>
        </w:rPr>
        <w:footnoteReference w:id="43"/>
      </w:r>
      <w:r w:rsidR="00A32975">
        <w:t xml:space="preserve"> </w:t>
      </w:r>
      <w:r w:rsidRPr="002A111A">
        <w:t>For example: (1) Start-up of a working group to analy</w:t>
      </w:r>
      <w:r w:rsidR="00A32975">
        <w:t>s</w:t>
      </w:r>
      <w:r w:rsidRPr="002A111A">
        <w:t xml:space="preserve">e the provision of personal assistance and to propose the modification of the provision of care in the environment and / or the provision of home help. (2) Proposal to develop a new type of economic benefit aimed at hiring professional caregiver for people who are currently being treated at home and who either do not have family members or who do not have the availability to take care of themselves living with the beneficiary. It would therefore be </w:t>
      </w:r>
      <w:r w:rsidRPr="002A111A">
        <w:lastRenderedPageBreak/>
        <w:t>a new economic benefit that would allow the dependent to be attended at home, under parameters of professionalism and public control.</w:t>
      </w:r>
    </w:p>
    <w:p w14:paraId="4BCE0045" w14:textId="77777777" w:rsidR="00A32975" w:rsidRPr="002A111A" w:rsidRDefault="00A32975" w:rsidP="00A32975"/>
    <w:p w14:paraId="0FBC00EE" w14:textId="68057115" w:rsidR="0023053C" w:rsidRPr="002A111A" w:rsidRDefault="0023053C" w:rsidP="00A32975">
      <w:r w:rsidRPr="002A111A">
        <w:t>It also reports on existing initiatives such as</w:t>
      </w:r>
      <w:r w:rsidR="00A32975">
        <w:t>:</w:t>
      </w:r>
      <w:r w:rsidRPr="00A32975">
        <w:rPr>
          <w:rStyle w:val="FootnoteReference"/>
          <w:rFonts w:eastAsiaTheme="majorEastAsia" w:cs="Arial"/>
          <w:sz w:val="24"/>
          <w:szCs w:val="24"/>
        </w:rPr>
        <w:footnoteReference w:id="44"/>
      </w:r>
      <w:r w:rsidRPr="002A111A">
        <w:t xml:space="preserve"> (1) the one developed in the</w:t>
      </w:r>
      <w:r w:rsidR="00A32975">
        <w:t xml:space="preserve"> </w:t>
      </w:r>
      <w:r w:rsidRPr="002A111A">
        <w:t xml:space="preserve">Community of Madrid. Different types of assistance resources are combined in attention to the physical, family and social situation of the person with disability and the needs that this has derived from their disability and / or dependency. (2) Specific resources to avoid the institutionalization of people with disabilities and facilitate their permanence in their community environment. Among them: places in pensions for people with mental illness; the sheltered flats for people with mental illness as well as for people with disabilities; transition flats for independent living; telecare and home help or community social care teams in the case of people with mental illness living in their home. (3) The Community of Madrid has an Office of Independent Living (OVI), through which a network of personal assistants is organized to provide assistance and support to people with physical disabilities in situations of dependency and great motivation to have </w:t>
      </w:r>
      <w:proofErr w:type="spellStart"/>
      <w:proofErr w:type="gramStart"/>
      <w:r w:rsidRPr="002A111A">
        <w:t>a</w:t>
      </w:r>
      <w:proofErr w:type="spellEnd"/>
      <w:proofErr w:type="gramEnd"/>
      <w:r w:rsidRPr="002A111A">
        <w:t xml:space="preserve"> independent life. Currently serving 72 users (50</w:t>
      </w:r>
      <w:r w:rsidR="00A32975">
        <w:t xml:space="preserve"> </w:t>
      </w:r>
      <w:r w:rsidRPr="002A111A">
        <w:t>% men and 50</w:t>
      </w:r>
      <w:r w:rsidR="00A32975">
        <w:t xml:space="preserve"> </w:t>
      </w:r>
      <w:r w:rsidRPr="002A111A">
        <w:t>% women) who develop an active educational or work life. The work of these personal assistants focuses on assistance and support, following the guidelines and instructions of the user with disabilities, related to facilitating and making possible this training or work activity. Other functions from those who perform home help or personal care. (4) In the Autonomous Community of Castile and Leon, there are, among many others, these two ways of promoting independent life: the promotion of personal assistance and the development of a network of integrated housing in the community, all of this as a complement to numerous actions to promote employment among people with disabilities</w:t>
      </w:r>
      <w:r w:rsidR="00B9266F" w:rsidRPr="002A111A">
        <w:t xml:space="preserve">. </w:t>
      </w:r>
    </w:p>
    <w:p w14:paraId="6EA038C2" w14:textId="77777777" w:rsidR="00B9266F" w:rsidRPr="002A111A" w:rsidRDefault="00B9266F" w:rsidP="00B446F1">
      <w:pPr>
        <w:ind w:left="567" w:hanging="567"/>
        <w:rPr>
          <w:rFonts w:cs="Arial"/>
          <w:color w:val="333333"/>
          <w:szCs w:val="24"/>
        </w:rPr>
      </w:pPr>
    </w:p>
    <w:p w14:paraId="13AE4EA9" w14:textId="4AD697CD" w:rsidR="00B9266F" w:rsidRDefault="00B9266F" w:rsidP="00A32975">
      <w:r w:rsidRPr="002A111A">
        <w:t xml:space="preserve">The Concluding Observations from the Committee on the </w:t>
      </w:r>
      <w:r w:rsidR="0020410D" w:rsidRPr="002A111A">
        <w:t>above-mentioned</w:t>
      </w:r>
      <w:r w:rsidRPr="002A111A">
        <w:t xml:space="preserve"> report will issue following Spain’s hearing scheduled for March 2019. At present, we can refer to the previous Concluding Observations, issued in 2011. </w:t>
      </w:r>
    </w:p>
    <w:p w14:paraId="543832B0" w14:textId="77777777" w:rsidR="00A32975" w:rsidRPr="002A111A" w:rsidRDefault="00A32975" w:rsidP="00B446F1">
      <w:pPr>
        <w:ind w:left="567" w:hanging="567"/>
        <w:rPr>
          <w:rFonts w:cs="Arial"/>
          <w:color w:val="333333"/>
          <w:szCs w:val="24"/>
        </w:rPr>
      </w:pPr>
    </w:p>
    <w:p w14:paraId="07EBE237" w14:textId="00010B59" w:rsidR="00A7369F" w:rsidRDefault="0080499D" w:rsidP="00B446F1">
      <w:pPr>
        <w:rPr>
          <w:rFonts w:cs="Arial"/>
          <w:szCs w:val="24"/>
        </w:rPr>
      </w:pPr>
      <w:r w:rsidRPr="002A111A">
        <w:rPr>
          <w:rFonts w:cs="Arial"/>
          <w:szCs w:val="24"/>
        </w:rPr>
        <w:t xml:space="preserve">The consideration from the CRPD of reports submitted by States parties under </w:t>
      </w:r>
      <w:r w:rsidR="00EE2C62">
        <w:rPr>
          <w:rFonts w:cs="Arial"/>
          <w:szCs w:val="24"/>
        </w:rPr>
        <w:t>A</w:t>
      </w:r>
      <w:r w:rsidRPr="002A111A">
        <w:rPr>
          <w:rFonts w:cs="Arial"/>
          <w:szCs w:val="24"/>
        </w:rPr>
        <w:t>rticle 35 of the Convention and the Concluding observations of the Committee concerning Living independently and being included in the community (</w:t>
      </w:r>
      <w:r w:rsidR="00EE2C62">
        <w:rPr>
          <w:rFonts w:cs="Arial"/>
          <w:szCs w:val="24"/>
        </w:rPr>
        <w:t>A</w:t>
      </w:r>
      <w:r w:rsidRPr="002A111A">
        <w:rPr>
          <w:rFonts w:cs="Arial"/>
          <w:szCs w:val="24"/>
        </w:rPr>
        <w:t>rt</w:t>
      </w:r>
      <w:r w:rsidR="00EE2C62">
        <w:rPr>
          <w:rFonts w:cs="Arial"/>
          <w:szCs w:val="24"/>
        </w:rPr>
        <w:t>icle</w:t>
      </w:r>
      <w:r w:rsidRPr="002A111A">
        <w:rPr>
          <w:rFonts w:cs="Arial"/>
          <w:szCs w:val="24"/>
        </w:rPr>
        <w:t xml:space="preserve"> 19) in Spain (2011), reflect that the Committee was concerned at the lack of resources and services to guarantee the right to live independently and to be included in the community, in particular in rural areas. It was further concerned that the choice of residence of persons with disabilities was limited by the availability of the necessary services, and that those living in residential institutions are reported to have no alternative to institutionalization. Finally, the Committee was concerned about linking </w:t>
      </w:r>
      <w:r w:rsidR="00F053C9" w:rsidRPr="002A111A">
        <w:rPr>
          <w:rFonts w:cs="Arial"/>
          <w:szCs w:val="24"/>
        </w:rPr>
        <w:t xml:space="preserve">the </w:t>
      </w:r>
      <w:r w:rsidRPr="002A111A">
        <w:rPr>
          <w:rFonts w:cs="Arial"/>
          <w:szCs w:val="24"/>
        </w:rPr>
        <w:t>eligibility of social services to a specific grade of disability. This is still true in Spain</w:t>
      </w:r>
      <w:r w:rsidR="00A7369F" w:rsidRPr="002A111A">
        <w:rPr>
          <w:rFonts w:cs="Arial"/>
          <w:szCs w:val="24"/>
        </w:rPr>
        <w:t>.</w:t>
      </w:r>
    </w:p>
    <w:p w14:paraId="39AF6F83" w14:textId="77777777" w:rsidR="00A32975" w:rsidRPr="002A111A" w:rsidRDefault="00A32975" w:rsidP="00B446F1">
      <w:pPr>
        <w:rPr>
          <w:rFonts w:cs="Arial"/>
          <w:szCs w:val="24"/>
        </w:rPr>
      </w:pPr>
    </w:p>
    <w:p w14:paraId="7F5207DB" w14:textId="7DB148CC" w:rsidR="00A7369F" w:rsidRDefault="00A7369F" w:rsidP="00B446F1">
      <w:pPr>
        <w:rPr>
          <w:rFonts w:cs="Arial"/>
          <w:szCs w:val="24"/>
        </w:rPr>
      </w:pPr>
      <w:r w:rsidRPr="002A111A">
        <w:rPr>
          <w:rFonts w:cs="Arial"/>
          <w:szCs w:val="24"/>
        </w:rPr>
        <w:t xml:space="preserve">The Committee encourages Spain to ensure that an adequate level of funding is made available to effectively enable persons with disabilities: to enjoy the freedom to choose their residence on an equal basis with others; to access a full range of in-home, residential and other community services for daily life, including personal assistance; </w:t>
      </w:r>
      <w:r w:rsidRPr="002A111A">
        <w:rPr>
          <w:rFonts w:cs="Arial"/>
          <w:szCs w:val="24"/>
        </w:rPr>
        <w:lastRenderedPageBreak/>
        <w:t xml:space="preserve">and to </w:t>
      </w:r>
      <w:r w:rsidR="00F053C9" w:rsidRPr="002A111A">
        <w:rPr>
          <w:rFonts w:cs="Arial"/>
          <w:szCs w:val="24"/>
        </w:rPr>
        <w:t>al</w:t>
      </w:r>
      <w:r w:rsidRPr="002A111A">
        <w:rPr>
          <w:rFonts w:cs="Arial"/>
          <w:szCs w:val="24"/>
        </w:rPr>
        <w:t>so enjoy reasonable accommodation so as to better integrate into their communities.</w:t>
      </w:r>
    </w:p>
    <w:p w14:paraId="1542AA94" w14:textId="77777777" w:rsidR="00A32975" w:rsidRPr="002A111A" w:rsidRDefault="00A32975" w:rsidP="00B446F1">
      <w:pPr>
        <w:rPr>
          <w:rFonts w:cs="Arial"/>
          <w:szCs w:val="24"/>
        </w:rPr>
      </w:pPr>
    </w:p>
    <w:p w14:paraId="09045F63" w14:textId="1708919A" w:rsidR="00A7369F" w:rsidRDefault="00A7369F" w:rsidP="00B446F1">
      <w:pPr>
        <w:rPr>
          <w:rFonts w:cs="Arial"/>
          <w:szCs w:val="24"/>
        </w:rPr>
      </w:pPr>
      <w:r w:rsidRPr="002A111A">
        <w:rPr>
          <w:rFonts w:cs="Arial"/>
          <w:szCs w:val="24"/>
        </w:rPr>
        <w:t xml:space="preserve">The Committee is concerned that the law for the promotion of autonomy limits the resources to hire personal assistants only to those persons who have level </w:t>
      </w:r>
      <w:r w:rsidR="00A32975">
        <w:rPr>
          <w:rFonts w:cs="Arial"/>
          <w:szCs w:val="24"/>
        </w:rPr>
        <w:t>three</w:t>
      </w:r>
      <w:r w:rsidRPr="002A111A">
        <w:rPr>
          <w:rFonts w:cs="Arial"/>
          <w:szCs w:val="24"/>
        </w:rPr>
        <w:t xml:space="preserve"> disabilities and only for education and work.</w:t>
      </w:r>
    </w:p>
    <w:p w14:paraId="66B5E884" w14:textId="77777777" w:rsidR="00A32975" w:rsidRPr="002A111A" w:rsidRDefault="00A32975" w:rsidP="00B446F1">
      <w:pPr>
        <w:rPr>
          <w:rFonts w:cs="Arial"/>
          <w:szCs w:val="24"/>
        </w:rPr>
      </w:pPr>
    </w:p>
    <w:p w14:paraId="07CC1224" w14:textId="6BA5FE78" w:rsidR="00B931E5" w:rsidRDefault="00A7369F" w:rsidP="00B446F1">
      <w:pPr>
        <w:rPr>
          <w:rFonts w:cs="Arial"/>
          <w:szCs w:val="24"/>
        </w:rPr>
      </w:pPr>
      <w:r w:rsidRPr="002A111A">
        <w:rPr>
          <w:rFonts w:cs="Arial"/>
          <w:szCs w:val="24"/>
        </w:rPr>
        <w:t>The Committee encourages the State to expand resources for personal assistants to all persons with disabilities in accordance with their requirements.</w:t>
      </w:r>
    </w:p>
    <w:p w14:paraId="5A203EB9" w14:textId="77777777" w:rsidR="00A32975" w:rsidRPr="002A111A" w:rsidRDefault="00A32975" w:rsidP="00B446F1">
      <w:pPr>
        <w:rPr>
          <w:rFonts w:cs="Arial"/>
          <w:szCs w:val="24"/>
        </w:rPr>
      </w:pPr>
    </w:p>
    <w:p w14:paraId="3AE092E5" w14:textId="5E89E39D" w:rsidR="008E4ACD" w:rsidRPr="002A111A" w:rsidRDefault="00B931E5" w:rsidP="00B446F1">
      <w:pPr>
        <w:rPr>
          <w:rFonts w:cs="Arial"/>
          <w:szCs w:val="24"/>
        </w:rPr>
      </w:pPr>
      <w:r w:rsidRPr="002A111A">
        <w:rPr>
          <w:rFonts w:cs="Arial"/>
          <w:szCs w:val="24"/>
        </w:rPr>
        <w:t>The Committee takes note of the legal regime allowing the institutionalization of persons with disabilities, including persons with intellectual and psychosocial disabilities (“mental illness”). It is concerned at the reported trend of resorting to urgent measures of institutionalization which contain only ex post facto safeguards for the affected individuals. It is equally concerned at the reported abuse of persons with disabilities who are institutionalized in residential centres or psychiatric hospitals.</w:t>
      </w:r>
      <w:r w:rsidRPr="002A111A">
        <w:rPr>
          <w:rStyle w:val="FootnoteReference"/>
          <w:rFonts w:cs="Arial"/>
          <w:sz w:val="24"/>
          <w:szCs w:val="24"/>
        </w:rPr>
        <w:footnoteReference w:id="45"/>
      </w:r>
    </w:p>
    <w:p w14:paraId="6D3641F2" w14:textId="77777777" w:rsidR="00565FB8" w:rsidRPr="002A111A" w:rsidRDefault="00565FB8" w:rsidP="00B446F1">
      <w:pPr>
        <w:rPr>
          <w:rFonts w:cs="Arial"/>
          <w:szCs w:val="24"/>
        </w:rPr>
      </w:pPr>
    </w:p>
    <w:p w14:paraId="6EAC9137" w14:textId="43447C1E" w:rsidR="008E4ACD" w:rsidRPr="002A111A" w:rsidRDefault="008E4ACD" w:rsidP="00B446F1">
      <w:pPr>
        <w:pStyle w:val="Heading2"/>
        <w:rPr>
          <w:rFonts w:cs="Arial"/>
          <w:szCs w:val="24"/>
        </w:rPr>
      </w:pPr>
      <w:bookmarkStart w:id="49" w:name="_Toc529874077"/>
      <w:bookmarkStart w:id="50" w:name="_Toc7609278"/>
      <w:r w:rsidRPr="002A111A">
        <w:rPr>
          <w:rFonts w:cs="Arial"/>
          <w:szCs w:val="24"/>
        </w:rPr>
        <w:t>Recent observations by other official European and international bodies</w:t>
      </w:r>
      <w:bookmarkEnd w:id="49"/>
      <w:bookmarkEnd w:id="50"/>
    </w:p>
    <w:p w14:paraId="7F2BCFF9" w14:textId="77777777" w:rsidR="00A32975" w:rsidRDefault="00A32975" w:rsidP="00B446F1">
      <w:pPr>
        <w:pStyle w:val="ListParagraph"/>
        <w:ind w:left="567" w:hanging="567"/>
        <w:rPr>
          <w:rFonts w:cs="Arial"/>
          <w:szCs w:val="24"/>
        </w:rPr>
      </w:pPr>
    </w:p>
    <w:p w14:paraId="3DC07502" w14:textId="054502C8" w:rsidR="009A73F0" w:rsidRDefault="008E377A" w:rsidP="00A32975">
      <w:r w:rsidRPr="002A111A">
        <w:t>As stated by Interlink project</w:t>
      </w:r>
      <w:r w:rsidR="00A32975">
        <w:t>,</w:t>
      </w:r>
      <w:r w:rsidRPr="002A111A">
        <w:rPr>
          <w:rStyle w:val="FootnoteReference"/>
          <w:rFonts w:cs="Arial"/>
          <w:sz w:val="24"/>
          <w:szCs w:val="24"/>
        </w:rPr>
        <w:footnoteReference w:id="46"/>
      </w:r>
      <w:r w:rsidRPr="002A111A">
        <w:t xml:space="preserve"> Spain is a state composed of </w:t>
      </w:r>
      <w:r w:rsidR="00111156" w:rsidRPr="002A111A">
        <w:t>17</w:t>
      </w:r>
      <w:r w:rsidRPr="002A111A">
        <w:t xml:space="preserve"> Autonomous Communities. Spain has a decentralized health and social system where Regional Ministries of Health are fully responsible for providing health and social care to the population. This welfare model, with separate health care and social services and their interventions, has changed under the new national dependency system which came into force in 2006 and established for the </w:t>
      </w:r>
      <w:proofErr w:type="gramStart"/>
      <w:r w:rsidRPr="002A111A">
        <w:t>first time</w:t>
      </w:r>
      <w:proofErr w:type="gramEnd"/>
      <w:r w:rsidRPr="002A111A">
        <w:t xml:space="preserve"> specific rights of dependent people and their caregivers. The challenges facing the new dependency care system include, in theory, coordinating the decentralised autonomous system and the state system to manage financial benefits, services and programmes, or setting up regional agencies and dependency assessment bodies that will use national criteria. In the social field, the private sector dominates the care provision. In the health sector, the provision of LTC services in mainly public</w:t>
      </w:r>
      <w:r w:rsidR="00A32975">
        <w:t>.</w:t>
      </w:r>
      <w:r w:rsidR="00026A54" w:rsidRPr="002A111A">
        <w:rPr>
          <w:rStyle w:val="FootnoteReference"/>
          <w:rFonts w:cs="Arial"/>
          <w:sz w:val="24"/>
          <w:szCs w:val="24"/>
        </w:rPr>
        <w:footnoteReference w:id="47"/>
      </w:r>
      <w:r w:rsidRPr="002A111A">
        <w:t xml:space="preserve"> Municipalities have almost no impact on LTC planning. Regional governments supervise the care delivery in LTC.</w:t>
      </w:r>
    </w:p>
    <w:p w14:paraId="765CB9A7" w14:textId="77777777" w:rsidR="00A32975" w:rsidRPr="002A111A" w:rsidRDefault="00A32975" w:rsidP="00A32975"/>
    <w:p w14:paraId="6D4BDDFE" w14:textId="16C95185" w:rsidR="008E4ACD" w:rsidRPr="002A111A" w:rsidRDefault="009A73F0" w:rsidP="00B446F1">
      <w:pPr>
        <w:rPr>
          <w:rFonts w:cs="Arial"/>
          <w:szCs w:val="24"/>
        </w:rPr>
      </w:pPr>
      <w:r w:rsidRPr="002A111A">
        <w:rPr>
          <w:rFonts w:cs="Arial"/>
          <w:szCs w:val="24"/>
        </w:rPr>
        <w:t>Different international organi</w:t>
      </w:r>
      <w:r w:rsidR="00EE2C62">
        <w:rPr>
          <w:rFonts w:cs="Arial"/>
          <w:szCs w:val="24"/>
        </w:rPr>
        <w:t>s</w:t>
      </w:r>
      <w:r w:rsidRPr="002A111A">
        <w:rPr>
          <w:rFonts w:cs="Arial"/>
          <w:szCs w:val="24"/>
        </w:rPr>
        <w:t>ations stress the need to deinstitutionalize people with disabilities and people in disadvantaged situations in Europe. Some of those organi</w:t>
      </w:r>
      <w:r w:rsidR="00EE2C62">
        <w:rPr>
          <w:rFonts w:cs="Arial"/>
          <w:szCs w:val="24"/>
        </w:rPr>
        <w:t>s</w:t>
      </w:r>
      <w:r w:rsidRPr="002A111A">
        <w:rPr>
          <w:rFonts w:cs="Arial"/>
          <w:szCs w:val="24"/>
        </w:rPr>
        <w:t>ations are:</w:t>
      </w:r>
      <w:r w:rsidR="00661539" w:rsidRPr="002A111A">
        <w:rPr>
          <w:rFonts w:cs="Arial"/>
          <w:szCs w:val="24"/>
        </w:rPr>
        <w:t xml:space="preserve"> </w:t>
      </w:r>
      <w:r w:rsidRPr="002A111A">
        <w:rPr>
          <w:rFonts w:cs="Arial"/>
          <w:color w:val="000000"/>
          <w:szCs w:val="24"/>
        </w:rPr>
        <w:t>COFACE (Confederation of Family Organisations in the EU</w:t>
      </w:r>
      <w:r w:rsidR="00A32975">
        <w:rPr>
          <w:rFonts w:cs="Arial"/>
          <w:color w:val="000000"/>
          <w:szCs w:val="24"/>
        </w:rPr>
        <w:t>),</w:t>
      </w:r>
      <w:r w:rsidRPr="002A111A">
        <w:rPr>
          <w:rStyle w:val="FootnoteReference"/>
          <w:rFonts w:cs="Arial"/>
          <w:color w:val="000000"/>
          <w:sz w:val="24"/>
          <w:szCs w:val="24"/>
        </w:rPr>
        <w:footnoteReference w:id="48"/>
      </w:r>
      <w:r w:rsidRPr="002A111A">
        <w:rPr>
          <w:rFonts w:cs="Arial"/>
          <w:color w:val="000000"/>
          <w:szCs w:val="24"/>
        </w:rPr>
        <w:t xml:space="preserve"> EASPD (European Association of Service Providers for People with Disabilities</w:t>
      </w:r>
      <w:r w:rsidR="00A32975">
        <w:rPr>
          <w:rFonts w:cs="Arial"/>
          <w:color w:val="000000"/>
          <w:szCs w:val="24"/>
        </w:rPr>
        <w:t>),</w:t>
      </w:r>
      <w:r w:rsidRPr="002A111A">
        <w:rPr>
          <w:rStyle w:val="FootnoteReference"/>
          <w:rFonts w:cs="Arial"/>
          <w:color w:val="000000"/>
          <w:sz w:val="24"/>
          <w:szCs w:val="24"/>
        </w:rPr>
        <w:footnoteReference w:id="49"/>
      </w:r>
      <w:r w:rsidRPr="002A111A">
        <w:rPr>
          <w:rFonts w:cs="Arial"/>
          <w:color w:val="000000"/>
          <w:szCs w:val="24"/>
        </w:rPr>
        <w:t xml:space="preserve"> </w:t>
      </w:r>
      <w:r w:rsidRPr="002A111A">
        <w:rPr>
          <w:rFonts w:cs="Arial"/>
          <w:color w:val="000000"/>
          <w:szCs w:val="24"/>
        </w:rPr>
        <w:lastRenderedPageBreak/>
        <w:t>EDF (European Disability Forum</w:t>
      </w:r>
      <w:r w:rsidR="00EE2C62">
        <w:rPr>
          <w:rFonts w:cs="Arial"/>
          <w:color w:val="000000"/>
          <w:szCs w:val="24"/>
        </w:rPr>
        <w:t>),</w:t>
      </w:r>
      <w:r w:rsidRPr="002A111A">
        <w:rPr>
          <w:rStyle w:val="FootnoteReference"/>
          <w:rFonts w:cs="Arial"/>
          <w:color w:val="000000"/>
          <w:sz w:val="24"/>
          <w:szCs w:val="24"/>
        </w:rPr>
        <w:footnoteReference w:id="50"/>
      </w:r>
      <w:r w:rsidRPr="002A111A">
        <w:rPr>
          <w:rFonts w:cs="Arial"/>
          <w:color w:val="000000"/>
          <w:szCs w:val="24"/>
        </w:rPr>
        <w:t xml:space="preserve"> ENIL/ECCL (European Network on Independent Living/European Coalition for Community Living</w:t>
      </w:r>
      <w:r w:rsidR="00EE2C62">
        <w:rPr>
          <w:rFonts w:cs="Arial"/>
          <w:color w:val="000000"/>
          <w:szCs w:val="24"/>
        </w:rPr>
        <w:t>),</w:t>
      </w:r>
      <w:r w:rsidRPr="002A111A">
        <w:rPr>
          <w:rStyle w:val="FootnoteReference"/>
          <w:rFonts w:cs="Arial"/>
          <w:color w:val="000000"/>
          <w:sz w:val="24"/>
          <w:szCs w:val="24"/>
        </w:rPr>
        <w:footnoteReference w:id="51"/>
      </w:r>
      <w:r w:rsidRPr="002A111A">
        <w:rPr>
          <w:rFonts w:cs="Arial"/>
          <w:color w:val="000000"/>
          <w:szCs w:val="24"/>
        </w:rPr>
        <w:t xml:space="preserve"> ESN (European Social Network</w:t>
      </w:r>
      <w:r w:rsidR="00EE2C62">
        <w:rPr>
          <w:rFonts w:cs="Arial"/>
          <w:color w:val="000000"/>
          <w:szCs w:val="24"/>
        </w:rPr>
        <w:t>),</w:t>
      </w:r>
      <w:r w:rsidRPr="002A111A">
        <w:rPr>
          <w:rStyle w:val="FootnoteReference"/>
          <w:rFonts w:cs="Arial"/>
          <w:color w:val="000000"/>
          <w:sz w:val="24"/>
          <w:szCs w:val="24"/>
        </w:rPr>
        <w:footnoteReference w:id="52"/>
      </w:r>
      <w:r w:rsidRPr="002A111A">
        <w:rPr>
          <w:rFonts w:cs="Arial"/>
          <w:color w:val="000000"/>
          <w:szCs w:val="24"/>
        </w:rPr>
        <w:t xml:space="preserve"> Inclusion Europe</w:t>
      </w:r>
      <w:r w:rsidR="00EE2C62">
        <w:rPr>
          <w:rFonts w:cs="Arial"/>
          <w:color w:val="000000"/>
          <w:szCs w:val="24"/>
        </w:rPr>
        <w:t>,</w:t>
      </w:r>
      <w:r w:rsidRPr="002A111A">
        <w:rPr>
          <w:rStyle w:val="FootnoteReference"/>
          <w:rFonts w:cs="Arial"/>
          <w:color w:val="000000"/>
          <w:sz w:val="24"/>
          <w:szCs w:val="24"/>
        </w:rPr>
        <w:footnoteReference w:id="53"/>
      </w:r>
      <w:r w:rsidR="00EE2C62">
        <w:rPr>
          <w:rFonts w:cs="Arial"/>
          <w:color w:val="000000"/>
          <w:szCs w:val="24"/>
        </w:rPr>
        <w:t xml:space="preserve"> </w:t>
      </w:r>
      <w:r w:rsidRPr="002A111A">
        <w:rPr>
          <w:rStyle w:val="FootnoteReference"/>
          <w:rFonts w:cs="Arial"/>
          <w:color w:val="000000"/>
          <w:sz w:val="24"/>
          <w:szCs w:val="24"/>
        </w:rPr>
        <w:footnoteReference w:id="54"/>
      </w:r>
      <w:r w:rsidR="00EE2C62">
        <w:rPr>
          <w:rFonts w:cs="Arial"/>
          <w:color w:val="000000"/>
          <w:szCs w:val="24"/>
        </w:rPr>
        <w:t xml:space="preserve"> </w:t>
      </w:r>
      <w:r w:rsidRPr="002A111A">
        <w:rPr>
          <w:rStyle w:val="FootnoteReference"/>
          <w:rFonts w:cs="Arial"/>
          <w:color w:val="000000"/>
          <w:sz w:val="24"/>
          <w:szCs w:val="24"/>
        </w:rPr>
        <w:footnoteReference w:id="55"/>
      </w:r>
      <w:r w:rsidRPr="002A111A">
        <w:rPr>
          <w:rFonts w:cs="Arial"/>
          <w:color w:val="000000"/>
          <w:szCs w:val="24"/>
        </w:rPr>
        <w:t xml:space="preserve"> Lumos</w:t>
      </w:r>
      <w:r w:rsidR="00EE2C62">
        <w:rPr>
          <w:rFonts w:cs="Arial"/>
          <w:color w:val="000000"/>
          <w:szCs w:val="24"/>
        </w:rPr>
        <w:t>,</w:t>
      </w:r>
      <w:r w:rsidRPr="002A111A">
        <w:rPr>
          <w:rStyle w:val="FootnoteReference"/>
          <w:rFonts w:cs="Arial"/>
          <w:color w:val="000000"/>
          <w:sz w:val="24"/>
          <w:szCs w:val="24"/>
        </w:rPr>
        <w:footnoteReference w:id="56"/>
      </w:r>
      <w:r w:rsidRPr="002A111A">
        <w:rPr>
          <w:rFonts w:cs="Arial"/>
          <w:color w:val="000000"/>
          <w:szCs w:val="24"/>
        </w:rPr>
        <w:t xml:space="preserve"> Mental Health Europe</w:t>
      </w:r>
      <w:r w:rsidR="00EE2C62">
        <w:rPr>
          <w:rFonts w:cs="Arial"/>
          <w:color w:val="000000"/>
          <w:szCs w:val="24"/>
        </w:rPr>
        <w:t>,</w:t>
      </w:r>
      <w:r w:rsidRPr="002A111A">
        <w:rPr>
          <w:rStyle w:val="FootnoteReference"/>
          <w:rFonts w:cs="Arial"/>
          <w:color w:val="000000"/>
          <w:sz w:val="24"/>
          <w:szCs w:val="24"/>
        </w:rPr>
        <w:footnoteReference w:id="57"/>
      </w:r>
      <w:r w:rsidRPr="002A111A">
        <w:rPr>
          <w:rFonts w:cs="Arial"/>
          <w:color w:val="000000"/>
          <w:szCs w:val="24"/>
        </w:rPr>
        <w:t xml:space="preserve"> Mental Health Initiative Open Society Foundations</w:t>
      </w:r>
      <w:r w:rsidR="00EE2C62">
        <w:rPr>
          <w:rFonts w:cs="Arial"/>
          <w:color w:val="000000"/>
          <w:szCs w:val="24"/>
        </w:rPr>
        <w:t>.</w:t>
      </w:r>
      <w:r w:rsidRPr="002A111A">
        <w:rPr>
          <w:rStyle w:val="FootnoteReference"/>
          <w:rFonts w:cs="Arial"/>
          <w:color w:val="000000"/>
          <w:sz w:val="24"/>
          <w:szCs w:val="24"/>
        </w:rPr>
        <w:footnoteReference w:id="58"/>
      </w:r>
    </w:p>
    <w:p w14:paraId="12905296" w14:textId="6C7B7B06" w:rsidR="008E4ACD" w:rsidRPr="002A111A" w:rsidRDefault="008E4ACD" w:rsidP="00B446F1">
      <w:pPr>
        <w:ind w:left="567" w:hanging="567"/>
        <w:rPr>
          <w:rFonts w:cs="Arial"/>
          <w:b/>
          <w:szCs w:val="24"/>
        </w:rPr>
      </w:pPr>
    </w:p>
    <w:p w14:paraId="45BCFAF7" w14:textId="08015DE7" w:rsidR="008E4ACD" w:rsidRPr="002A111A" w:rsidRDefault="008E4ACD" w:rsidP="00B446F1">
      <w:pPr>
        <w:pStyle w:val="Heading2"/>
        <w:rPr>
          <w:rFonts w:cs="Arial"/>
          <w:szCs w:val="24"/>
        </w:rPr>
      </w:pPr>
      <w:bookmarkStart w:id="51" w:name="_Toc529874078"/>
      <w:bookmarkStart w:id="52" w:name="_Toc7609279"/>
      <w:r w:rsidRPr="002A111A">
        <w:rPr>
          <w:rFonts w:cs="Arial"/>
          <w:szCs w:val="24"/>
        </w:rPr>
        <w:t>Observations and recommendations by national human rights bodies</w:t>
      </w:r>
      <w:bookmarkEnd w:id="51"/>
      <w:bookmarkEnd w:id="52"/>
    </w:p>
    <w:p w14:paraId="3617C166" w14:textId="77777777" w:rsidR="00565FB8" w:rsidRPr="002A111A" w:rsidRDefault="00565FB8" w:rsidP="00B446F1">
      <w:pPr>
        <w:rPr>
          <w:rFonts w:cs="Arial"/>
          <w:szCs w:val="24"/>
          <w:lang w:bidi="en-US"/>
        </w:rPr>
      </w:pPr>
    </w:p>
    <w:p w14:paraId="00B5A4A8" w14:textId="2DA056CA" w:rsidR="00565FB8" w:rsidRPr="002A111A" w:rsidRDefault="00565FB8" w:rsidP="00B446F1">
      <w:pPr>
        <w:rPr>
          <w:rFonts w:cs="Arial"/>
          <w:szCs w:val="24"/>
          <w:lang w:bidi="en-US"/>
        </w:rPr>
      </w:pPr>
      <w:r w:rsidRPr="002A111A">
        <w:rPr>
          <w:rFonts w:cs="Arial"/>
          <w:szCs w:val="24"/>
          <w:lang w:bidi="en-US"/>
        </w:rPr>
        <w:t xml:space="preserve">In February 2019, the Spanish NHRI (Defensor del Pueblo de </w:t>
      </w:r>
      <w:proofErr w:type="spellStart"/>
      <w:r w:rsidRPr="002A111A">
        <w:rPr>
          <w:rFonts w:cs="Arial"/>
          <w:szCs w:val="24"/>
          <w:lang w:bidi="en-US"/>
        </w:rPr>
        <w:t>España</w:t>
      </w:r>
      <w:proofErr w:type="spellEnd"/>
      <w:r w:rsidRPr="002A111A">
        <w:rPr>
          <w:rFonts w:cs="Arial"/>
          <w:szCs w:val="24"/>
          <w:lang w:bidi="en-US"/>
        </w:rPr>
        <w:t>) submitted its list of questions for the upcoming hearing on Spain in March 2019</w:t>
      </w:r>
      <w:r w:rsidR="00EE2C62">
        <w:rPr>
          <w:rFonts w:cs="Arial"/>
          <w:szCs w:val="24"/>
          <w:lang w:bidi="en-US"/>
        </w:rPr>
        <w:t>,</w:t>
      </w:r>
      <w:r w:rsidRPr="002A111A">
        <w:rPr>
          <w:rStyle w:val="FootnoteReference"/>
          <w:rFonts w:cs="Arial"/>
          <w:sz w:val="24"/>
          <w:szCs w:val="24"/>
          <w:lang w:bidi="en-US"/>
        </w:rPr>
        <w:footnoteReference w:id="59"/>
      </w:r>
      <w:r w:rsidRPr="002A111A">
        <w:rPr>
          <w:rFonts w:cs="Arial"/>
          <w:szCs w:val="24"/>
          <w:lang w:bidi="en-US"/>
        </w:rPr>
        <w:t xml:space="preserve"> including the following statement on Article 19: </w:t>
      </w:r>
    </w:p>
    <w:p w14:paraId="1CDA0522" w14:textId="77777777" w:rsidR="00565FB8" w:rsidRPr="002A111A" w:rsidRDefault="00565FB8" w:rsidP="00B446F1">
      <w:pPr>
        <w:rPr>
          <w:rFonts w:cs="Arial"/>
          <w:szCs w:val="24"/>
          <w:lang w:bidi="en-US"/>
        </w:rPr>
      </w:pPr>
    </w:p>
    <w:p w14:paraId="4D471595" w14:textId="194E6A78" w:rsidR="00565FB8" w:rsidRPr="002A111A" w:rsidRDefault="00565FB8" w:rsidP="00EE2C62">
      <w:pPr>
        <w:ind w:left="567"/>
        <w:rPr>
          <w:rFonts w:cs="Arial"/>
          <w:szCs w:val="24"/>
          <w:lang w:bidi="en-US"/>
        </w:rPr>
      </w:pPr>
      <w:r w:rsidRPr="002A111A">
        <w:rPr>
          <w:rFonts w:cs="Arial"/>
          <w:szCs w:val="24"/>
          <w:lang w:bidi="en-US"/>
        </w:rPr>
        <w:t>Article 19.- Right to live independently and to be included in the community</w:t>
      </w:r>
    </w:p>
    <w:p w14:paraId="3B13CA66" w14:textId="77777777" w:rsidR="00565FB8" w:rsidRPr="002A111A" w:rsidRDefault="00565FB8" w:rsidP="00B446F1">
      <w:pPr>
        <w:rPr>
          <w:rFonts w:cs="Arial"/>
          <w:szCs w:val="24"/>
          <w:lang w:bidi="en-US"/>
        </w:rPr>
      </w:pPr>
    </w:p>
    <w:p w14:paraId="546FEA43" w14:textId="3BFE36E3" w:rsidR="00565FB8" w:rsidRPr="002A111A" w:rsidRDefault="00AC7B7B" w:rsidP="00EE2C62">
      <w:pPr>
        <w:ind w:left="567"/>
        <w:rPr>
          <w:rFonts w:cs="Arial"/>
          <w:szCs w:val="24"/>
          <w:lang w:bidi="en-US"/>
        </w:rPr>
      </w:pPr>
      <w:r w:rsidRPr="002A111A">
        <w:rPr>
          <w:rFonts w:cs="Arial"/>
          <w:szCs w:val="24"/>
          <w:lang w:bidi="en-US"/>
        </w:rPr>
        <w:t>…</w:t>
      </w:r>
      <w:r w:rsidR="00565FB8" w:rsidRPr="002A111A">
        <w:rPr>
          <w:rFonts w:cs="Arial"/>
          <w:szCs w:val="24"/>
          <w:lang w:bidi="en-US"/>
        </w:rPr>
        <w:t>the important effort made by public administrations to develop the System for Autonomy and Care for Dependency</w:t>
      </w:r>
      <w:r w:rsidRPr="002A111A">
        <w:rPr>
          <w:rFonts w:cs="Arial"/>
          <w:szCs w:val="24"/>
          <w:lang w:bidi="en-US"/>
        </w:rPr>
        <w:t xml:space="preserve"> should be noted</w:t>
      </w:r>
      <w:r w:rsidR="00565FB8" w:rsidRPr="002A111A">
        <w:rPr>
          <w:rFonts w:cs="Arial"/>
          <w:szCs w:val="24"/>
          <w:lang w:bidi="en-US"/>
        </w:rPr>
        <w:t xml:space="preserve">. These efforts have not been </w:t>
      </w:r>
      <w:proofErr w:type="gramStart"/>
      <w:r w:rsidR="00565FB8" w:rsidRPr="002A111A">
        <w:rPr>
          <w:rFonts w:cs="Arial"/>
          <w:szCs w:val="24"/>
          <w:lang w:bidi="en-US"/>
        </w:rPr>
        <w:t>sufficient</w:t>
      </w:r>
      <w:proofErr w:type="gramEnd"/>
      <w:r w:rsidR="00565FB8" w:rsidRPr="002A111A">
        <w:rPr>
          <w:rFonts w:cs="Arial"/>
          <w:szCs w:val="24"/>
          <w:lang w:bidi="en-US"/>
        </w:rPr>
        <w:t xml:space="preserve"> in all cases to guarantee beneficiaries the enjoyment of the benefits and services that correspond to them and that legally have the consideration of subjective rights. The normative changes, the </w:t>
      </w:r>
      <w:r w:rsidRPr="002A111A">
        <w:rPr>
          <w:rFonts w:cs="Arial"/>
          <w:szCs w:val="24"/>
          <w:lang w:bidi="en-US"/>
        </w:rPr>
        <w:t xml:space="preserve">difficulties </w:t>
      </w:r>
      <w:r w:rsidR="00565FB8" w:rsidRPr="002A111A">
        <w:rPr>
          <w:rFonts w:cs="Arial"/>
          <w:szCs w:val="24"/>
          <w:lang w:bidi="en-US"/>
        </w:rPr>
        <w:t>of certain requirements in a context of serious delays in the processing of applications and the reduction in the amount of benefits</w:t>
      </w:r>
      <w:r w:rsidRPr="002A111A">
        <w:rPr>
          <w:rFonts w:cs="Arial"/>
          <w:szCs w:val="24"/>
          <w:lang w:bidi="en-US"/>
        </w:rPr>
        <w:t xml:space="preserve">, mean that the first decade </w:t>
      </w:r>
      <w:r w:rsidR="00565FB8" w:rsidRPr="002A111A">
        <w:rPr>
          <w:rFonts w:cs="Arial"/>
          <w:szCs w:val="24"/>
          <w:lang w:bidi="en-US"/>
        </w:rPr>
        <w:t>o</w:t>
      </w:r>
      <w:r w:rsidRPr="002A111A">
        <w:rPr>
          <w:rFonts w:cs="Arial"/>
          <w:szCs w:val="24"/>
          <w:lang w:bidi="en-US"/>
        </w:rPr>
        <w:t>f implementation of the Law of D</w:t>
      </w:r>
      <w:r w:rsidR="00565FB8" w:rsidRPr="002A111A">
        <w:rPr>
          <w:rFonts w:cs="Arial"/>
          <w:szCs w:val="24"/>
          <w:lang w:bidi="en-US"/>
        </w:rPr>
        <w:t xml:space="preserve">ependence </w:t>
      </w:r>
      <w:r w:rsidRPr="002A111A">
        <w:rPr>
          <w:rFonts w:cs="Arial"/>
          <w:szCs w:val="24"/>
          <w:lang w:bidi="en-US"/>
        </w:rPr>
        <w:t xml:space="preserve">is not, on balance, as positive as it should have been. </w:t>
      </w:r>
    </w:p>
    <w:p w14:paraId="228C6946" w14:textId="77777777" w:rsidR="00AC7B7B" w:rsidRPr="002A111A" w:rsidRDefault="00AC7B7B" w:rsidP="00B446F1">
      <w:pPr>
        <w:ind w:left="720"/>
        <w:rPr>
          <w:rFonts w:cs="Arial"/>
          <w:szCs w:val="24"/>
          <w:lang w:bidi="en-US"/>
        </w:rPr>
      </w:pPr>
    </w:p>
    <w:p w14:paraId="48632AB0" w14:textId="4D5F3629" w:rsidR="00565FB8" w:rsidRPr="002A111A" w:rsidRDefault="00565FB8" w:rsidP="00B446F1">
      <w:pPr>
        <w:ind w:left="567"/>
        <w:rPr>
          <w:rFonts w:cs="Arial"/>
          <w:szCs w:val="24"/>
          <w:lang w:bidi="en-US"/>
        </w:rPr>
      </w:pPr>
      <w:r w:rsidRPr="002A111A">
        <w:rPr>
          <w:rFonts w:cs="Arial"/>
          <w:szCs w:val="24"/>
          <w:lang w:bidi="en-US"/>
        </w:rPr>
        <w:t>Significant differences remain in the way in which the participation of the beneficiaries in the cost of the services they receive is calculated according to the territorial Administration responsible for providing them.</w:t>
      </w:r>
      <w:r w:rsidR="00AC7B7B" w:rsidRPr="002A111A">
        <w:rPr>
          <w:rStyle w:val="FootnoteReference"/>
          <w:rFonts w:cs="Arial"/>
          <w:sz w:val="24"/>
          <w:szCs w:val="24"/>
          <w:lang w:bidi="en-US"/>
        </w:rPr>
        <w:footnoteReference w:id="60"/>
      </w:r>
      <w:r w:rsidRPr="002A111A">
        <w:rPr>
          <w:rFonts w:cs="Arial"/>
          <w:szCs w:val="24"/>
          <w:lang w:bidi="en-US"/>
        </w:rPr>
        <w:t xml:space="preserve"> </w:t>
      </w:r>
    </w:p>
    <w:p w14:paraId="2F4DE238" w14:textId="77777777" w:rsidR="008E4ACD" w:rsidRPr="002A111A" w:rsidRDefault="008E4ACD" w:rsidP="00B446F1">
      <w:pPr>
        <w:ind w:left="567" w:hanging="567"/>
        <w:rPr>
          <w:rFonts w:cs="Arial"/>
          <w:szCs w:val="24"/>
        </w:rPr>
      </w:pPr>
    </w:p>
    <w:p w14:paraId="59EC5BA1" w14:textId="480A1F97" w:rsidR="008E4ACD" w:rsidRPr="002A111A" w:rsidRDefault="008E4ACD" w:rsidP="00B446F1">
      <w:pPr>
        <w:pStyle w:val="Heading2"/>
        <w:rPr>
          <w:rFonts w:cs="Arial"/>
          <w:szCs w:val="24"/>
        </w:rPr>
      </w:pPr>
      <w:bookmarkStart w:id="53" w:name="_Toc529874079"/>
      <w:bookmarkStart w:id="54" w:name="_Toc7609280"/>
      <w:r w:rsidRPr="002A111A">
        <w:rPr>
          <w:rFonts w:cs="Arial"/>
          <w:szCs w:val="24"/>
        </w:rPr>
        <w:t>Observations and recommendations by national or regional/devolved Parliaments and assemblies</w:t>
      </w:r>
      <w:bookmarkEnd w:id="53"/>
      <w:bookmarkEnd w:id="54"/>
    </w:p>
    <w:p w14:paraId="04B09382" w14:textId="77777777" w:rsidR="00EE2C62" w:rsidRDefault="00EE2C62" w:rsidP="00B446F1">
      <w:pPr>
        <w:ind w:left="567" w:hanging="567"/>
        <w:rPr>
          <w:rFonts w:cs="Arial"/>
          <w:szCs w:val="24"/>
        </w:rPr>
      </w:pPr>
    </w:p>
    <w:p w14:paraId="743883BE" w14:textId="6F74C13D" w:rsidR="00EE2C62" w:rsidRPr="005440A7" w:rsidRDefault="005440A7">
      <w:pPr>
        <w:spacing w:after="200" w:line="276" w:lineRule="auto"/>
        <w:jc w:val="left"/>
        <w:rPr>
          <w:rFonts w:cs="Arial"/>
          <w:szCs w:val="24"/>
        </w:rPr>
      </w:pPr>
      <w:r>
        <w:rPr>
          <w:rFonts w:cs="Arial"/>
          <w:szCs w:val="24"/>
        </w:rPr>
        <w:t xml:space="preserve">No relevant information available. </w:t>
      </w:r>
    </w:p>
    <w:p w14:paraId="372315D9" w14:textId="77777777" w:rsidR="008E4ACD" w:rsidRPr="002A111A" w:rsidRDefault="008E4ACD" w:rsidP="00B446F1">
      <w:pPr>
        <w:pStyle w:val="Heading1"/>
        <w:numPr>
          <w:ilvl w:val="0"/>
          <w:numId w:val="23"/>
        </w:numPr>
        <w:rPr>
          <w:rFonts w:cs="Arial"/>
          <w:szCs w:val="24"/>
        </w:rPr>
      </w:pPr>
      <w:bookmarkStart w:id="55" w:name="_Toc529874080"/>
      <w:bookmarkStart w:id="56" w:name="_Toc7609281"/>
      <w:r w:rsidRPr="002A111A">
        <w:rPr>
          <w:rFonts w:cs="Arial"/>
          <w:szCs w:val="24"/>
        </w:rPr>
        <w:t>Views and perspectives of civil society</w:t>
      </w:r>
      <w:r w:rsidR="00E1022C" w:rsidRPr="002A111A">
        <w:rPr>
          <w:rFonts w:cs="Arial"/>
          <w:szCs w:val="24"/>
        </w:rPr>
        <w:t xml:space="preserve"> including DPOs</w:t>
      </w:r>
      <w:bookmarkEnd w:id="55"/>
      <w:bookmarkEnd w:id="56"/>
    </w:p>
    <w:p w14:paraId="5809E931" w14:textId="77777777" w:rsidR="008E4ACD" w:rsidRPr="002A111A" w:rsidRDefault="008E4ACD" w:rsidP="00B446F1">
      <w:pPr>
        <w:rPr>
          <w:rFonts w:cs="Arial"/>
          <w:b/>
          <w:szCs w:val="24"/>
        </w:rPr>
      </w:pPr>
    </w:p>
    <w:p w14:paraId="0F43E1F5" w14:textId="431CFE18" w:rsidR="008E4ACD" w:rsidRPr="002A111A" w:rsidRDefault="008E4ACD" w:rsidP="00B446F1">
      <w:pPr>
        <w:pStyle w:val="Heading2"/>
        <w:rPr>
          <w:rFonts w:cs="Arial"/>
          <w:szCs w:val="24"/>
        </w:rPr>
      </w:pPr>
      <w:bookmarkStart w:id="57" w:name="_Toc529874081"/>
      <w:bookmarkStart w:id="58" w:name="_Toc7609282"/>
      <w:r w:rsidRPr="002A111A">
        <w:rPr>
          <w:rFonts w:cs="Arial"/>
          <w:szCs w:val="24"/>
        </w:rPr>
        <w:t>UNCRPD civil society shadow and alternative reports</w:t>
      </w:r>
      <w:bookmarkEnd w:id="57"/>
      <w:bookmarkEnd w:id="58"/>
    </w:p>
    <w:p w14:paraId="7FC5BCF4" w14:textId="221796ED" w:rsidR="00327B83" w:rsidRDefault="00327B83" w:rsidP="00B446F1">
      <w:pPr>
        <w:rPr>
          <w:rFonts w:cs="Arial"/>
          <w:szCs w:val="24"/>
        </w:rPr>
      </w:pPr>
      <w:r w:rsidRPr="002A111A">
        <w:rPr>
          <w:rFonts w:cs="Arial"/>
          <w:szCs w:val="24"/>
        </w:rPr>
        <w:lastRenderedPageBreak/>
        <w:t xml:space="preserve">The European Network on Independent Living (ENIL) and the </w:t>
      </w:r>
      <w:proofErr w:type="spellStart"/>
      <w:r w:rsidRPr="002A111A">
        <w:rPr>
          <w:rFonts w:cs="Arial"/>
          <w:szCs w:val="24"/>
        </w:rPr>
        <w:t>Federación</w:t>
      </w:r>
      <w:proofErr w:type="spellEnd"/>
      <w:r w:rsidRPr="002A111A">
        <w:rPr>
          <w:rFonts w:cs="Arial"/>
          <w:szCs w:val="24"/>
        </w:rPr>
        <w:t xml:space="preserve"> Vida Independiente (FEVI), a federal network of Spanish organi</w:t>
      </w:r>
      <w:r w:rsidR="00EE2C62">
        <w:rPr>
          <w:rFonts w:cs="Arial"/>
          <w:szCs w:val="24"/>
        </w:rPr>
        <w:t>s</w:t>
      </w:r>
      <w:r w:rsidRPr="002A111A">
        <w:rPr>
          <w:rFonts w:cs="Arial"/>
          <w:szCs w:val="24"/>
        </w:rPr>
        <w:t>ations promoting Independent Living, in their Report on the Implementation of Article 19 of the UN Convention on the Rights of Persons with Disabilities in Spain (released 14 February 2019</w:t>
      </w:r>
      <w:r w:rsidR="00EE2C62">
        <w:rPr>
          <w:rFonts w:cs="Arial"/>
          <w:szCs w:val="24"/>
        </w:rPr>
        <w:t>)</w:t>
      </w:r>
      <w:r w:rsidRPr="002A111A">
        <w:rPr>
          <w:rStyle w:val="FootnoteReference"/>
          <w:rFonts w:cs="Arial"/>
          <w:sz w:val="24"/>
          <w:szCs w:val="24"/>
        </w:rPr>
        <w:footnoteReference w:id="61"/>
      </w:r>
      <w:r w:rsidRPr="002A111A">
        <w:rPr>
          <w:rFonts w:cs="Arial"/>
          <w:szCs w:val="24"/>
        </w:rPr>
        <w:t xml:space="preserve"> express their concerns with regard to Article 19 CRPD, stating that “As organisations led by disabled people and focusing on disabled people’s access to the right to live independently and to be included in the community, ENIL and FEVI are deeply concerned about Spain’s lack of progress in implementing Article 19 CRPD since the country’s initial review in 2011. Our key concerns in Spain, in relation to access to Independent Living are: a) Minimal progress towards independent living and failure to adopt a strategy and a concrete plan of action for deinstitutionalisation; b) Continued use of public funds to build new residential institutions for disabled people, and c) Extreme difficulty in accessing personal assistance for disabled people” (pag</w:t>
      </w:r>
      <w:r w:rsidR="00337903">
        <w:rPr>
          <w:rFonts w:cs="Arial"/>
          <w:szCs w:val="24"/>
        </w:rPr>
        <w:t>e</w:t>
      </w:r>
      <w:r w:rsidRPr="002A111A">
        <w:rPr>
          <w:rFonts w:cs="Arial"/>
          <w:szCs w:val="24"/>
        </w:rPr>
        <w:t xml:space="preserve"> 3). They also refer to the Spanish report by the Academic Network of European Disability Experts</w:t>
      </w:r>
      <w:r w:rsidRPr="002A111A">
        <w:rPr>
          <w:rStyle w:val="FootnoteReference"/>
          <w:rFonts w:cs="Arial"/>
          <w:sz w:val="24"/>
          <w:szCs w:val="24"/>
        </w:rPr>
        <w:footnoteReference w:id="62"/>
      </w:r>
      <w:r w:rsidRPr="002A111A">
        <w:rPr>
          <w:rFonts w:cs="Arial"/>
          <w:szCs w:val="24"/>
        </w:rPr>
        <w:t xml:space="preserve"> in which is stated that “progress on de-institutionalisation and the development of support for long-term community support services” is a concern, and economic constraints affect access to services and benefits, especially for those with lower support needs”. In addition, they mention that: “Other services offered by the state such as telecare, day care cent</w:t>
      </w:r>
      <w:r w:rsidR="00EE2C62">
        <w:rPr>
          <w:rFonts w:cs="Arial"/>
          <w:szCs w:val="24"/>
        </w:rPr>
        <w:t>r</w:t>
      </w:r>
      <w:r w:rsidRPr="002A111A">
        <w:rPr>
          <w:rFonts w:cs="Arial"/>
          <w:szCs w:val="24"/>
        </w:rPr>
        <w:t xml:space="preserve">es, night care </w:t>
      </w:r>
      <w:r w:rsidR="00EE2C62" w:rsidRPr="002A111A">
        <w:rPr>
          <w:rFonts w:cs="Arial"/>
          <w:szCs w:val="24"/>
        </w:rPr>
        <w:t>centres</w:t>
      </w:r>
      <w:r w:rsidRPr="002A111A">
        <w:rPr>
          <w:rFonts w:cs="Arial"/>
          <w:szCs w:val="24"/>
        </w:rPr>
        <w:t>, and home services, are not user-led” (pag</w:t>
      </w:r>
      <w:r w:rsidR="00337903">
        <w:rPr>
          <w:rFonts w:cs="Arial"/>
          <w:szCs w:val="24"/>
        </w:rPr>
        <w:t>e</w:t>
      </w:r>
      <w:r w:rsidRPr="002A111A">
        <w:rPr>
          <w:rFonts w:cs="Arial"/>
          <w:szCs w:val="24"/>
        </w:rPr>
        <w:t xml:space="preserve"> 4). They continue in their report stating that: “Despite the increasing number of people in long-stay residential institutions, Spain does not have a deinstitutionalisation strategy in place, nor an action plan. This means that there is no political will </w:t>
      </w:r>
      <w:proofErr w:type="gramStart"/>
      <w:r w:rsidRPr="002A111A">
        <w:rPr>
          <w:rFonts w:cs="Arial"/>
          <w:szCs w:val="24"/>
        </w:rPr>
        <w:t>at the moment</w:t>
      </w:r>
      <w:proofErr w:type="gramEnd"/>
      <w:r w:rsidRPr="002A111A">
        <w:rPr>
          <w:rFonts w:cs="Arial"/>
          <w:szCs w:val="24"/>
        </w:rPr>
        <w:t xml:space="preserve"> to put in place community-based alternatives to institutional care, such as personal assistance, and close down existing institutions. It is of great concern that most, if not all institutions, are developed in partnership with organisations of and for disabled people.</w:t>
      </w:r>
      <w:r w:rsidR="00EE2C62">
        <w:rPr>
          <w:rFonts w:cs="Arial"/>
          <w:szCs w:val="24"/>
        </w:rPr>
        <w:t xml:space="preserve"> </w:t>
      </w:r>
      <w:r w:rsidRPr="002A111A">
        <w:rPr>
          <w:rFonts w:cs="Arial"/>
          <w:szCs w:val="24"/>
        </w:rPr>
        <w:t>This is used to legitimise the continued segregation of disabled people, despite being in violation of the UN CRPD and the European laws and policies on social inclusion” (pag</w:t>
      </w:r>
      <w:r w:rsidR="00337903">
        <w:rPr>
          <w:rFonts w:cs="Arial"/>
          <w:szCs w:val="24"/>
        </w:rPr>
        <w:t>e</w:t>
      </w:r>
      <w:r w:rsidRPr="002A111A">
        <w:rPr>
          <w:rFonts w:cs="Arial"/>
          <w:szCs w:val="24"/>
        </w:rPr>
        <w:t xml:space="preserve"> 4). </w:t>
      </w:r>
      <w:proofErr w:type="spellStart"/>
      <w:r w:rsidRPr="002A111A">
        <w:rPr>
          <w:rFonts w:cs="Arial"/>
          <w:szCs w:val="24"/>
        </w:rPr>
        <w:t>Latter</w:t>
      </w:r>
      <w:proofErr w:type="spellEnd"/>
      <w:r w:rsidRPr="002A111A">
        <w:rPr>
          <w:rFonts w:cs="Arial"/>
          <w:szCs w:val="24"/>
        </w:rPr>
        <w:t xml:space="preserve"> in their report they affirm that. “ENIL and FEVI have found substantial evidence of increasing public investment into the building of new long-stay residential institutions for disabled people. It is of an even greater concern that many of these new institutions have benefited from partnerships with organisations of or for disabled people in Spain” (pag</w:t>
      </w:r>
      <w:r w:rsidR="00337903">
        <w:rPr>
          <w:rFonts w:cs="Arial"/>
          <w:szCs w:val="24"/>
        </w:rPr>
        <w:t>e</w:t>
      </w:r>
      <w:r w:rsidRPr="002A111A">
        <w:rPr>
          <w:rFonts w:cs="Arial"/>
          <w:szCs w:val="24"/>
        </w:rPr>
        <w:t xml:space="preserve"> 5), and “While many of the institutions occupy contemporary buildings, with a lot of space and modern facilities, and some claim to provide “personal assistance”, all of the long-stay residential institutions retain many of the institutional care characteristics (…) In particular while they offer disabled people some degree of choice and control over their lives, “these choices are limited to specific areas of life and do not change the segregating character of institutions”. (pag</w:t>
      </w:r>
      <w:r w:rsidR="00337903">
        <w:rPr>
          <w:rFonts w:cs="Arial"/>
          <w:szCs w:val="24"/>
        </w:rPr>
        <w:t>e</w:t>
      </w:r>
      <w:r w:rsidRPr="002A111A">
        <w:rPr>
          <w:rFonts w:cs="Arial"/>
          <w:szCs w:val="24"/>
        </w:rPr>
        <w:t xml:space="preserve"> 6). Finally, ENIL and FEVI, call on the CRPD Committee to include the following recommendations in its observations to the Spanish Government. In order to ensure compliance with Article 19 CRPD, Spain must (pp. 9-10):</w:t>
      </w:r>
    </w:p>
    <w:p w14:paraId="51ADAD36" w14:textId="77777777" w:rsidR="00EE2C62" w:rsidRPr="002A111A" w:rsidRDefault="00EE2C62" w:rsidP="00B446F1">
      <w:pPr>
        <w:rPr>
          <w:rFonts w:cs="Arial"/>
          <w:szCs w:val="24"/>
        </w:rPr>
      </w:pPr>
    </w:p>
    <w:p w14:paraId="5FEEE5D5" w14:textId="6E697D2E" w:rsidR="00327B83" w:rsidRPr="00EE2C62" w:rsidRDefault="00327B83" w:rsidP="00EE2C62">
      <w:pPr>
        <w:pStyle w:val="pragraph"/>
      </w:pPr>
      <w:r w:rsidRPr="00EE2C62">
        <w:lastRenderedPageBreak/>
        <w:t>As a matter of priority, put in place a strategy for deinstitutionalisation, with specific timeframes and an adequate budget, in order to facilitate the closure of all long-stay residential institutions and the development of quality community-based alternatives that promote social inclusion and participation, for all groups of disabled people.</w:t>
      </w:r>
    </w:p>
    <w:p w14:paraId="6AF40CB2" w14:textId="19645322" w:rsidR="00327B83" w:rsidRPr="002A111A" w:rsidRDefault="00327B83" w:rsidP="00EE2C62">
      <w:pPr>
        <w:pStyle w:val="pragraph"/>
      </w:pPr>
      <w:r w:rsidRPr="002A111A">
        <w:t>Stop using public funds to build new long-stay residential institutions for disabled people. Instead, funds should be used to develop accessible and affordable housing solutions, including social housing and supported living that facilitate independent living and social inclusion.</w:t>
      </w:r>
    </w:p>
    <w:p w14:paraId="2F97ED38" w14:textId="3268EEDC" w:rsidR="00327B83" w:rsidRPr="002A111A" w:rsidRDefault="00327B83" w:rsidP="00EE2C62">
      <w:pPr>
        <w:pStyle w:val="pragraph"/>
      </w:pPr>
      <w:r w:rsidRPr="002A111A">
        <w:t xml:space="preserve">Allocate </w:t>
      </w:r>
      <w:proofErr w:type="gramStart"/>
      <w:r w:rsidRPr="002A111A">
        <w:t>sufficient</w:t>
      </w:r>
      <w:proofErr w:type="gramEnd"/>
      <w:r w:rsidRPr="002A111A">
        <w:t xml:space="preserve"> resources for the development of person centred and user-led services for all disabled people, such as personal assistance. </w:t>
      </w:r>
    </w:p>
    <w:p w14:paraId="72744E30" w14:textId="07B442E1" w:rsidR="00327B83" w:rsidRPr="002A111A" w:rsidRDefault="00327B83" w:rsidP="00EE2C62">
      <w:pPr>
        <w:pStyle w:val="pragraph"/>
      </w:pPr>
      <w:r w:rsidRPr="002A111A">
        <w:t>Revise eligibility criteria and funding for personal assistance, in line with the human rights model of disability, to ensure that all disabled people in need of personal assistance can benefit from this service. Furthermore, the right to personal assistance, as defined in the General Comment No 5, should be enshrined in law, in order to ensure equal access and to avoid discrimination based on the place of residence (i.e. post code lottery).</w:t>
      </w:r>
    </w:p>
    <w:p w14:paraId="72E88743" w14:textId="739B1C05" w:rsidR="00327B83" w:rsidRPr="002A111A" w:rsidRDefault="00327B83" w:rsidP="00EE2C62">
      <w:pPr>
        <w:pStyle w:val="pragraph"/>
      </w:pPr>
      <w:r w:rsidRPr="002A111A">
        <w:t>Ensure that all disabled people have access to peer support, in order to be able to make informed choices about their life and put in place the necessary services to follow these choices.</w:t>
      </w:r>
    </w:p>
    <w:p w14:paraId="2EE4C180" w14:textId="7755D4F0" w:rsidR="00633D2B" w:rsidRPr="002A111A" w:rsidRDefault="00327B83" w:rsidP="00EE2C62">
      <w:pPr>
        <w:pStyle w:val="pragraph"/>
      </w:pPr>
      <w:r w:rsidRPr="002A111A">
        <w:t>Together with organisations that promote Independent Living (such as Centres for Independent Living), develop and run</w:t>
      </w:r>
      <w:r w:rsidR="00661539" w:rsidRPr="002A111A">
        <w:t xml:space="preserve"> </w:t>
      </w:r>
      <w:r w:rsidRPr="002A111A">
        <w:t>awareness raising campaigns about the right to live independently and to be included in the community, targeting policy and decision makers, disabled people and their representative organisations, families of disabled people, service providers, media and the general public.</w:t>
      </w:r>
      <w:r w:rsidR="00D9750C" w:rsidRPr="002A111A">
        <w:t>”</w:t>
      </w:r>
    </w:p>
    <w:p w14:paraId="70D8E9D0" w14:textId="77777777" w:rsidR="00333559" w:rsidRPr="002A111A" w:rsidRDefault="00333559" w:rsidP="00B446F1">
      <w:pPr>
        <w:rPr>
          <w:rFonts w:cs="Arial"/>
          <w:szCs w:val="24"/>
        </w:rPr>
      </w:pPr>
    </w:p>
    <w:p w14:paraId="18E007C8" w14:textId="1F8F81D9" w:rsidR="00633D2B" w:rsidRPr="002A111A" w:rsidRDefault="00633D2B" w:rsidP="00B446F1">
      <w:pPr>
        <w:rPr>
          <w:rFonts w:cs="Arial"/>
          <w:szCs w:val="24"/>
        </w:rPr>
      </w:pPr>
      <w:proofErr w:type="spellStart"/>
      <w:r w:rsidRPr="002A111A">
        <w:rPr>
          <w:rFonts w:cs="Arial"/>
          <w:szCs w:val="24"/>
        </w:rPr>
        <w:t>Arnau</w:t>
      </w:r>
      <w:proofErr w:type="spellEnd"/>
      <w:r w:rsidRPr="002A111A">
        <w:rPr>
          <w:rFonts w:cs="Arial"/>
          <w:szCs w:val="24"/>
        </w:rPr>
        <w:t xml:space="preserve"> </w:t>
      </w:r>
      <w:proofErr w:type="spellStart"/>
      <w:r w:rsidRPr="002A111A">
        <w:rPr>
          <w:rFonts w:cs="Arial"/>
          <w:szCs w:val="24"/>
        </w:rPr>
        <w:t>Ripollés</w:t>
      </w:r>
      <w:proofErr w:type="spellEnd"/>
      <w:r w:rsidRPr="002A111A">
        <w:rPr>
          <w:rFonts w:cs="Arial"/>
          <w:szCs w:val="24"/>
        </w:rPr>
        <w:t xml:space="preserve"> (2017), from the Civil Society Organi</w:t>
      </w:r>
      <w:r w:rsidR="00EE2C62">
        <w:rPr>
          <w:rFonts w:cs="Arial"/>
          <w:szCs w:val="24"/>
        </w:rPr>
        <w:t>s</w:t>
      </w:r>
      <w:r w:rsidRPr="002A111A">
        <w:rPr>
          <w:rFonts w:cs="Arial"/>
          <w:szCs w:val="24"/>
        </w:rPr>
        <w:t>ation IPADEVI</w:t>
      </w:r>
      <w:r w:rsidRPr="002A111A">
        <w:rPr>
          <w:rStyle w:val="FootnoteReference"/>
          <w:rFonts w:cs="Arial"/>
          <w:sz w:val="24"/>
          <w:szCs w:val="24"/>
        </w:rPr>
        <w:footnoteReference w:id="63"/>
      </w:r>
      <w:r w:rsidRPr="002A111A">
        <w:rPr>
          <w:rFonts w:cs="Arial"/>
          <w:szCs w:val="24"/>
        </w:rPr>
        <w:t xml:space="preserve"> states that Law 39/2006, of </w:t>
      </w:r>
      <w:r w:rsidR="00321274">
        <w:rPr>
          <w:rFonts w:cs="Arial"/>
          <w:szCs w:val="24"/>
        </w:rPr>
        <w:t xml:space="preserve">14 </w:t>
      </w:r>
      <w:r w:rsidRPr="002A111A">
        <w:rPr>
          <w:rFonts w:cs="Arial"/>
          <w:szCs w:val="24"/>
        </w:rPr>
        <w:t>December, on the Promotion of Personal Autonomy and Care for the situation of dependency, although it has the "Economic benefit of personal assistance, the main philosophy of resources and services which it offers is traditional (welfare and institutionalizing) and, therefore, contrary to the Human Rights Approach promoted by the United Nations, through the 2006 Convention.</w:t>
      </w:r>
    </w:p>
    <w:p w14:paraId="4B5B2009" w14:textId="77777777" w:rsidR="00333559" w:rsidRPr="002A111A" w:rsidRDefault="00333559" w:rsidP="00B446F1">
      <w:pPr>
        <w:rPr>
          <w:rFonts w:cs="Arial"/>
          <w:szCs w:val="24"/>
        </w:rPr>
      </w:pPr>
    </w:p>
    <w:p w14:paraId="01E8CDF1" w14:textId="0E56D1B8" w:rsidR="00333559" w:rsidRPr="002A111A" w:rsidRDefault="00333559" w:rsidP="00B446F1">
      <w:pPr>
        <w:rPr>
          <w:rFonts w:cs="Arial"/>
          <w:szCs w:val="24"/>
        </w:rPr>
      </w:pPr>
      <w:r w:rsidRPr="002A111A">
        <w:rPr>
          <w:rFonts w:cs="Arial"/>
          <w:szCs w:val="24"/>
        </w:rPr>
        <w:t>European Network of (Ex-) Users and Survivors of Psychiatry (ENUSP), in their report from 2017</w:t>
      </w:r>
      <w:r w:rsidRPr="002A111A">
        <w:rPr>
          <w:rStyle w:val="FootnoteReference"/>
          <w:rFonts w:cs="Arial"/>
          <w:sz w:val="24"/>
          <w:szCs w:val="24"/>
        </w:rPr>
        <w:footnoteReference w:id="64"/>
      </w:r>
      <w:r w:rsidRPr="002A111A">
        <w:rPr>
          <w:rFonts w:cs="Arial"/>
          <w:szCs w:val="24"/>
        </w:rPr>
        <w:t xml:space="preserve"> state that ENUSP is concerned that Spain has failed to comply with the recommendation of the Committee on the Rights of Persons with</w:t>
      </w:r>
      <w:r w:rsidR="00661539" w:rsidRPr="002A111A">
        <w:rPr>
          <w:rFonts w:cs="Arial"/>
          <w:szCs w:val="24"/>
        </w:rPr>
        <w:t xml:space="preserve"> </w:t>
      </w:r>
      <w:r w:rsidRPr="002A111A">
        <w:rPr>
          <w:rFonts w:cs="Arial"/>
          <w:szCs w:val="24"/>
        </w:rPr>
        <w:t>Disabilities concerning the need for Spain to review its laws that allow for the deprivation of liberty on the basis of disability, including mental, psychosocial or intellectual disabilities; repeal provisions that authori</w:t>
      </w:r>
      <w:r w:rsidR="00321274">
        <w:rPr>
          <w:rFonts w:cs="Arial"/>
          <w:szCs w:val="24"/>
        </w:rPr>
        <w:t>s</w:t>
      </w:r>
      <w:r w:rsidRPr="002A111A">
        <w:rPr>
          <w:rFonts w:cs="Arial"/>
          <w:szCs w:val="24"/>
        </w:rPr>
        <w:t>e involuntary internment linked to an apparent or diagnosed disability; and adopt measures to ensure that health-care services, including all mental-health-care services, are based on the informed consent of the person concerned</w:t>
      </w:r>
      <w:r w:rsidR="00321274">
        <w:rPr>
          <w:rFonts w:cs="Arial"/>
          <w:szCs w:val="24"/>
        </w:rPr>
        <w:t>.</w:t>
      </w:r>
    </w:p>
    <w:p w14:paraId="2349F391" w14:textId="314F80DE" w:rsidR="00A75383" w:rsidRDefault="00A75383" w:rsidP="00B446F1">
      <w:pPr>
        <w:rPr>
          <w:rFonts w:cs="Arial"/>
          <w:szCs w:val="24"/>
        </w:rPr>
      </w:pPr>
      <w:r w:rsidRPr="002A111A">
        <w:rPr>
          <w:rFonts w:cs="Arial"/>
          <w:szCs w:val="24"/>
        </w:rPr>
        <w:lastRenderedPageBreak/>
        <w:t>CERMI (2016), in its report: 2006-2016: 10 years of the International Convention on the Rights of Persons with Disabilities - Balance of its application in Spain</w:t>
      </w:r>
      <w:r w:rsidR="00321274">
        <w:rPr>
          <w:rFonts w:cs="Arial"/>
          <w:szCs w:val="24"/>
        </w:rPr>
        <w:t>,</w:t>
      </w:r>
      <w:r w:rsidRPr="002A111A">
        <w:rPr>
          <w:rStyle w:val="FootnoteReference"/>
          <w:rFonts w:cs="Arial"/>
          <w:sz w:val="24"/>
          <w:szCs w:val="24"/>
        </w:rPr>
        <w:footnoteReference w:id="65"/>
      </w:r>
      <w:r w:rsidRPr="002A111A">
        <w:rPr>
          <w:rFonts w:cs="Arial"/>
          <w:szCs w:val="24"/>
        </w:rPr>
        <w:t xml:space="preserve"> raises several needs for improvement:</w:t>
      </w:r>
    </w:p>
    <w:p w14:paraId="3CD7BF7D" w14:textId="77777777" w:rsidR="00321274" w:rsidRPr="002A111A" w:rsidRDefault="00321274" w:rsidP="00B446F1">
      <w:pPr>
        <w:rPr>
          <w:rFonts w:cs="Arial"/>
          <w:szCs w:val="24"/>
        </w:rPr>
      </w:pPr>
    </w:p>
    <w:p w14:paraId="6711B885" w14:textId="47B25A89" w:rsidR="00A75383" w:rsidRPr="002A111A" w:rsidRDefault="00A75383" w:rsidP="00321274">
      <w:pPr>
        <w:ind w:left="567" w:hanging="567"/>
        <w:rPr>
          <w:rFonts w:cs="Arial"/>
          <w:szCs w:val="24"/>
        </w:rPr>
      </w:pPr>
      <w:r w:rsidRPr="002A111A">
        <w:rPr>
          <w:rFonts w:cs="Arial"/>
          <w:szCs w:val="24"/>
        </w:rPr>
        <w:t>1.</w:t>
      </w:r>
      <w:r w:rsidR="00321274">
        <w:rPr>
          <w:rFonts w:cs="Arial"/>
          <w:szCs w:val="24"/>
        </w:rPr>
        <w:tab/>
      </w:r>
      <w:r w:rsidRPr="002A111A">
        <w:rPr>
          <w:rFonts w:cs="Arial"/>
          <w:szCs w:val="24"/>
        </w:rPr>
        <w:t xml:space="preserve">In relation to forced deinstitutionalization and in order to end it, it is necessary to adopt a State Strategy of Inclusion in the Community that allows institutionalized people to benefit from inclusive life formulas in the community. This requires having public support to make effective their election. </w:t>
      </w:r>
      <w:proofErr w:type="gramStart"/>
      <w:r w:rsidRPr="002A111A">
        <w:rPr>
          <w:rFonts w:cs="Arial"/>
          <w:szCs w:val="24"/>
        </w:rPr>
        <w:t>Also</w:t>
      </w:r>
      <w:proofErr w:type="gramEnd"/>
      <w:r w:rsidRPr="002A111A">
        <w:rPr>
          <w:rFonts w:cs="Arial"/>
          <w:szCs w:val="24"/>
        </w:rPr>
        <w:t xml:space="preserve"> and in line with that expressed by ENUSP, CERMI states that a rethinking of the non-voluntary internment due to psychic disorder that separates the forced internment from the condition of person with a disability and that determines the emergency situations in which a person (with or without a disability) could be admitted without your consent. This regulation shall be made by organic law, in compliance with the Constitutional Court Sentences 132/2010 and 141/2012. Therefore, it is necessary to regulate the forced internment of people with mental illness art. 763.1.2 LEC, including alternatives to the incarceration of mental patients that facilitate the recovery and social reintegration of these people (p.270).</w:t>
      </w:r>
    </w:p>
    <w:p w14:paraId="2DE0C506" w14:textId="765F0A70" w:rsidR="00A75383" w:rsidRPr="002A111A" w:rsidRDefault="00A75383" w:rsidP="00321274">
      <w:pPr>
        <w:ind w:left="567" w:hanging="567"/>
        <w:rPr>
          <w:rFonts w:cs="Arial"/>
          <w:szCs w:val="24"/>
        </w:rPr>
      </w:pPr>
      <w:r w:rsidRPr="002A111A">
        <w:rPr>
          <w:rFonts w:cs="Arial"/>
          <w:szCs w:val="24"/>
        </w:rPr>
        <w:t xml:space="preserve">2. </w:t>
      </w:r>
      <w:r w:rsidR="00321274">
        <w:rPr>
          <w:rFonts w:cs="Arial"/>
          <w:szCs w:val="24"/>
        </w:rPr>
        <w:tab/>
      </w:r>
      <w:r w:rsidRPr="002A111A">
        <w:rPr>
          <w:rFonts w:cs="Arial"/>
          <w:szCs w:val="24"/>
        </w:rPr>
        <w:t>There is a need to regulate the rights of institutionalized people to prevent degrading treatment, in which there is a greater risk of violating their rights and having fewer possibilities to exercise legal protection mechanisms. On the other hand, it has been verified the existence of practices that violate fundamental rights in public residences (page 110)</w:t>
      </w:r>
      <w:r w:rsidR="00321274">
        <w:rPr>
          <w:rFonts w:cs="Arial"/>
          <w:szCs w:val="24"/>
        </w:rPr>
        <w:t>.</w:t>
      </w:r>
    </w:p>
    <w:p w14:paraId="22F33094" w14:textId="4CDF4D3A" w:rsidR="00A75383" w:rsidRPr="002A111A" w:rsidRDefault="00A75383" w:rsidP="00321274">
      <w:pPr>
        <w:ind w:left="567" w:hanging="567"/>
        <w:rPr>
          <w:rFonts w:cs="Arial"/>
          <w:szCs w:val="24"/>
        </w:rPr>
      </w:pPr>
      <w:r w:rsidRPr="002A111A">
        <w:rPr>
          <w:rFonts w:cs="Arial"/>
          <w:szCs w:val="24"/>
        </w:rPr>
        <w:t xml:space="preserve">3. </w:t>
      </w:r>
      <w:r w:rsidR="00321274">
        <w:rPr>
          <w:rFonts w:cs="Arial"/>
          <w:szCs w:val="24"/>
        </w:rPr>
        <w:tab/>
      </w:r>
      <w:r w:rsidRPr="002A111A">
        <w:rPr>
          <w:rFonts w:cs="Arial"/>
          <w:szCs w:val="24"/>
        </w:rPr>
        <w:t xml:space="preserve">It is necessary a system of attention that is oriented towards a model of autonomous and independent life, that </w:t>
      </w:r>
      <w:r w:rsidR="00321274" w:rsidRPr="002A111A">
        <w:rPr>
          <w:rFonts w:cs="Arial"/>
          <w:szCs w:val="24"/>
        </w:rPr>
        <w:t>favours</w:t>
      </w:r>
      <w:r w:rsidRPr="002A111A">
        <w:rPr>
          <w:rFonts w:cs="Arial"/>
          <w:szCs w:val="24"/>
        </w:rPr>
        <w:t xml:space="preserve"> the inclusion in the community. In this sense, it is necessary that the Law for the Promotion of Personal Autonomy and Attention to Persons in Dependence acquire an approach oriented to the Convention and that territorial inequalities be overcome. The data show a clear tendency to </w:t>
      </w:r>
      <w:r w:rsidR="00321274" w:rsidRPr="002A111A">
        <w:rPr>
          <w:rFonts w:cs="Arial"/>
          <w:szCs w:val="24"/>
        </w:rPr>
        <w:t>favour</w:t>
      </w:r>
      <w:r w:rsidRPr="002A111A">
        <w:rPr>
          <w:rFonts w:cs="Arial"/>
          <w:szCs w:val="24"/>
        </w:rPr>
        <w:t xml:space="preserve"> institutionalization in the face of independent life and in community with the resources that are necessary. The system restricts benefits for study or work and excludes that they can support access to leisure or culture, which reflects a welfare model. It is also necessary to strengthen the associative movement in line with the purposes of the Convention, aimed at </w:t>
      </w:r>
      <w:r w:rsidR="00321274" w:rsidRPr="002A111A">
        <w:rPr>
          <w:rFonts w:cs="Arial"/>
          <w:szCs w:val="24"/>
        </w:rPr>
        <w:t>favouring</w:t>
      </w:r>
      <w:r w:rsidRPr="002A111A">
        <w:rPr>
          <w:rFonts w:cs="Arial"/>
          <w:szCs w:val="24"/>
        </w:rPr>
        <w:t xml:space="preserve"> the participation of people with disabilities in the design, application and monitoring of the policies that affect them (page 111)</w:t>
      </w:r>
      <w:r w:rsidR="00321274">
        <w:rPr>
          <w:rFonts w:cs="Arial"/>
          <w:szCs w:val="24"/>
        </w:rPr>
        <w:t>.</w:t>
      </w:r>
    </w:p>
    <w:p w14:paraId="1991C1FF" w14:textId="77777777" w:rsidR="00321274" w:rsidRDefault="00A75383" w:rsidP="00321274">
      <w:pPr>
        <w:ind w:left="567" w:hanging="567"/>
        <w:rPr>
          <w:rFonts w:cs="Arial"/>
          <w:szCs w:val="24"/>
        </w:rPr>
      </w:pPr>
      <w:r w:rsidRPr="002A111A">
        <w:rPr>
          <w:rFonts w:cs="Arial"/>
          <w:szCs w:val="24"/>
        </w:rPr>
        <w:t xml:space="preserve">4. </w:t>
      </w:r>
      <w:r w:rsidR="00321274">
        <w:rPr>
          <w:rFonts w:cs="Arial"/>
          <w:szCs w:val="24"/>
        </w:rPr>
        <w:tab/>
      </w:r>
      <w:r w:rsidRPr="002A111A">
        <w:rPr>
          <w:rFonts w:cs="Arial"/>
          <w:szCs w:val="24"/>
        </w:rPr>
        <w:t xml:space="preserve">Lack of accessibility in homes, lack of an elevator, and others that prevent the maintenance of an independent and autonomous life (page 112). </w:t>
      </w:r>
    </w:p>
    <w:p w14:paraId="669B567C" w14:textId="07CC2649" w:rsidR="00A75383" w:rsidRPr="002A111A" w:rsidRDefault="00A75383" w:rsidP="00321274">
      <w:pPr>
        <w:ind w:left="567" w:hanging="567"/>
        <w:rPr>
          <w:rFonts w:cs="Arial"/>
          <w:szCs w:val="24"/>
        </w:rPr>
      </w:pPr>
      <w:r w:rsidRPr="002A111A">
        <w:rPr>
          <w:rFonts w:cs="Arial"/>
          <w:szCs w:val="24"/>
        </w:rPr>
        <w:t xml:space="preserve">5. </w:t>
      </w:r>
      <w:r w:rsidR="00321274">
        <w:rPr>
          <w:rFonts w:cs="Arial"/>
          <w:szCs w:val="24"/>
        </w:rPr>
        <w:tab/>
      </w:r>
      <w:r w:rsidRPr="002A111A">
        <w:rPr>
          <w:rFonts w:cs="Arial"/>
          <w:szCs w:val="24"/>
        </w:rPr>
        <w:t>It is necessary to adapt all the services, benefits and support resources so that they are accessible in equal conditions for all people in rural areas (page 112)</w:t>
      </w:r>
      <w:r w:rsidR="00321274">
        <w:rPr>
          <w:rFonts w:cs="Arial"/>
          <w:szCs w:val="24"/>
        </w:rPr>
        <w:t>.</w:t>
      </w:r>
    </w:p>
    <w:p w14:paraId="51718F4E" w14:textId="181C5725" w:rsidR="008E4ACD" w:rsidRPr="002A111A" w:rsidRDefault="00A75383" w:rsidP="00321274">
      <w:pPr>
        <w:ind w:left="567" w:hanging="567"/>
        <w:rPr>
          <w:rFonts w:cs="Arial"/>
          <w:szCs w:val="24"/>
        </w:rPr>
      </w:pPr>
      <w:r w:rsidRPr="002A111A">
        <w:rPr>
          <w:rFonts w:cs="Arial"/>
          <w:szCs w:val="24"/>
        </w:rPr>
        <w:t xml:space="preserve">6. </w:t>
      </w:r>
      <w:r w:rsidR="00321274">
        <w:rPr>
          <w:rFonts w:cs="Arial"/>
          <w:szCs w:val="24"/>
        </w:rPr>
        <w:tab/>
      </w:r>
      <w:r w:rsidRPr="002A111A">
        <w:rPr>
          <w:rFonts w:cs="Arial"/>
          <w:szCs w:val="24"/>
        </w:rPr>
        <w:t>Children with disabilities have less support to ensure their independence and autonomy and children under three years of age lack it because the comprehensive care plan for children under three years of age as provided for in the law has not been approved (page 111)</w:t>
      </w:r>
      <w:r w:rsidR="00321274">
        <w:rPr>
          <w:rFonts w:cs="Arial"/>
          <w:szCs w:val="24"/>
        </w:rPr>
        <w:t>.</w:t>
      </w:r>
    </w:p>
    <w:p w14:paraId="35B08B6D" w14:textId="50E19DBA" w:rsidR="008E4ACD" w:rsidRPr="002A111A" w:rsidRDefault="00C0504C" w:rsidP="00C0504C">
      <w:pPr>
        <w:spacing w:after="200" w:line="276" w:lineRule="auto"/>
        <w:jc w:val="left"/>
        <w:rPr>
          <w:rFonts w:cs="Arial"/>
          <w:b/>
          <w:szCs w:val="24"/>
        </w:rPr>
      </w:pPr>
      <w:r>
        <w:rPr>
          <w:rFonts w:cs="Arial"/>
          <w:b/>
          <w:szCs w:val="24"/>
        </w:rPr>
        <w:br w:type="page"/>
      </w:r>
    </w:p>
    <w:p w14:paraId="14499596" w14:textId="406049DB" w:rsidR="008E4ACD" w:rsidRPr="002A111A" w:rsidRDefault="008E4ACD" w:rsidP="00B446F1">
      <w:pPr>
        <w:pStyle w:val="Heading2"/>
        <w:rPr>
          <w:rFonts w:cs="Arial"/>
          <w:szCs w:val="24"/>
        </w:rPr>
      </w:pPr>
      <w:bookmarkStart w:id="59" w:name="_Toc529874082"/>
      <w:bookmarkStart w:id="60" w:name="_Toc7609283"/>
      <w:r w:rsidRPr="002A111A">
        <w:rPr>
          <w:rFonts w:cs="Arial"/>
          <w:szCs w:val="24"/>
        </w:rPr>
        <w:lastRenderedPageBreak/>
        <w:t>‘Grey literature’ at the national level</w:t>
      </w:r>
      <w:bookmarkEnd w:id="59"/>
      <w:bookmarkEnd w:id="60"/>
    </w:p>
    <w:p w14:paraId="5FDA83BF" w14:textId="77777777" w:rsidR="00321274" w:rsidRDefault="00321274" w:rsidP="00B446F1">
      <w:pPr>
        <w:rPr>
          <w:rFonts w:cs="Arial"/>
          <w:szCs w:val="24"/>
        </w:rPr>
      </w:pPr>
    </w:p>
    <w:p w14:paraId="65FC643F" w14:textId="7524BE90" w:rsidR="00094354" w:rsidRDefault="00094354" w:rsidP="00B446F1">
      <w:pPr>
        <w:rPr>
          <w:rFonts w:cs="Arial"/>
          <w:szCs w:val="24"/>
        </w:rPr>
      </w:pPr>
      <w:r w:rsidRPr="002A111A">
        <w:rPr>
          <w:rFonts w:cs="Arial"/>
          <w:szCs w:val="24"/>
        </w:rPr>
        <w:t>The quality of community services provided to people with disabilities is based on: (1) the compliance with the quality standards concerning housing; (2) the quality of life experienced by people with disabilities in this regard.</w:t>
      </w:r>
    </w:p>
    <w:p w14:paraId="1DAFA35C" w14:textId="77777777" w:rsidR="00321274" w:rsidRPr="002A111A" w:rsidRDefault="00321274" w:rsidP="00B446F1">
      <w:pPr>
        <w:rPr>
          <w:rFonts w:cs="Arial"/>
          <w:szCs w:val="24"/>
        </w:rPr>
      </w:pPr>
    </w:p>
    <w:p w14:paraId="1E9EAD0A" w14:textId="2B54F4F6" w:rsidR="00094354" w:rsidRDefault="00094354" w:rsidP="00B446F1">
      <w:pPr>
        <w:rPr>
          <w:rFonts w:cs="Arial"/>
          <w:szCs w:val="24"/>
        </w:rPr>
      </w:pPr>
      <w:r w:rsidRPr="002A111A">
        <w:rPr>
          <w:rFonts w:cs="Arial"/>
          <w:szCs w:val="24"/>
        </w:rPr>
        <w:t xml:space="preserve">On the compliance with the quality standards on housing, the Autonomous Communities or the competent Administration, </w:t>
      </w:r>
      <w:r w:rsidR="004C60F0" w:rsidRPr="002A111A">
        <w:rPr>
          <w:rFonts w:cs="Arial"/>
          <w:szCs w:val="24"/>
        </w:rPr>
        <w:t xml:space="preserve">certify </w:t>
      </w:r>
      <w:r w:rsidRPr="002A111A">
        <w:rPr>
          <w:rFonts w:cs="Arial"/>
          <w:szCs w:val="24"/>
        </w:rPr>
        <w:t xml:space="preserve">the </w:t>
      </w:r>
      <w:r w:rsidR="00EE2C62" w:rsidRPr="002A111A">
        <w:rPr>
          <w:rFonts w:cs="Arial"/>
          <w:szCs w:val="24"/>
        </w:rPr>
        <w:t>centres</w:t>
      </w:r>
      <w:r w:rsidRPr="002A111A">
        <w:rPr>
          <w:rFonts w:cs="Arial"/>
          <w:szCs w:val="24"/>
        </w:rPr>
        <w:t xml:space="preserve"> and contracted services to pay attention to people in situations of dependency so they can perceive the linked economic benefit. Similarly, private entities will be </w:t>
      </w:r>
      <w:r w:rsidR="004C60F0" w:rsidRPr="002A111A">
        <w:rPr>
          <w:rFonts w:cs="Arial"/>
          <w:szCs w:val="24"/>
        </w:rPr>
        <w:t xml:space="preserve">certified </w:t>
      </w:r>
      <w:r w:rsidRPr="002A111A">
        <w:rPr>
          <w:rFonts w:cs="Arial"/>
          <w:szCs w:val="24"/>
        </w:rPr>
        <w:t xml:space="preserve">for each of the </w:t>
      </w:r>
      <w:r w:rsidR="00EE2C62" w:rsidRPr="002A111A">
        <w:rPr>
          <w:rFonts w:cs="Arial"/>
          <w:szCs w:val="24"/>
        </w:rPr>
        <w:t>centres</w:t>
      </w:r>
      <w:r w:rsidRPr="002A111A">
        <w:rPr>
          <w:rFonts w:cs="Arial"/>
          <w:szCs w:val="24"/>
        </w:rPr>
        <w:t xml:space="preserve"> and services that they provide. Quality requirements and standards are established in the following areas: a) material and equipment; b) human resources.</w:t>
      </w:r>
    </w:p>
    <w:p w14:paraId="75464C4B" w14:textId="77777777" w:rsidR="00EE2C62" w:rsidRPr="002A111A" w:rsidRDefault="00EE2C62" w:rsidP="00B446F1">
      <w:pPr>
        <w:rPr>
          <w:rFonts w:cs="Arial"/>
          <w:szCs w:val="24"/>
        </w:rPr>
      </w:pPr>
    </w:p>
    <w:p w14:paraId="48611E8A" w14:textId="16C531FE" w:rsidR="008E4ACD" w:rsidRPr="002A111A" w:rsidRDefault="00094354" w:rsidP="00B446F1">
      <w:pPr>
        <w:rPr>
          <w:rFonts w:cs="Arial"/>
          <w:szCs w:val="24"/>
        </w:rPr>
      </w:pPr>
      <w:r w:rsidRPr="002A111A">
        <w:rPr>
          <w:rFonts w:cs="Arial"/>
          <w:szCs w:val="24"/>
        </w:rPr>
        <w:t xml:space="preserve">On the quality of life experienced, a study by </w:t>
      </w:r>
      <w:proofErr w:type="spellStart"/>
      <w:r w:rsidRPr="002A111A">
        <w:rPr>
          <w:rFonts w:cs="Arial"/>
          <w:szCs w:val="24"/>
        </w:rPr>
        <w:t>Huete</w:t>
      </w:r>
      <w:proofErr w:type="spellEnd"/>
      <w:r w:rsidRPr="002A111A">
        <w:rPr>
          <w:rFonts w:cs="Arial"/>
          <w:szCs w:val="24"/>
        </w:rPr>
        <w:t xml:space="preserve"> and colleagues (2015)</w:t>
      </w:r>
      <w:r w:rsidRPr="002A111A">
        <w:rPr>
          <w:rStyle w:val="FootnoteReference"/>
          <w:rFonts w:cs="Arial"/>
          <w:sz w:val="24"/>
          <w:szCs w:val="24"/>
        </w:rPr>
        <w:footnoteReference w:id="66"/>
      </w:r>
      <w:r w:rsidRPr="002A111A">
        <w:rPr>
          <w:rFonts w:cs="Arial"/>
          <w:szCs w:val="24"/>
        </w:rPr>
        <w:t xml:space="preserve"> </w:t>
      </w:r>
      <w:r w:rsidR="004C60F0" w:rsidRPr="002A111A">
        <w:rPr>
          <w:rFonts w:cs="Arial"/>
          <w:szCs w:val="24"/>
        </w:rPr>
        <w:t xml:space="preserve">showed </w:t>
      </w:r>
      <w:r w:rsidRPr="002A111A">
        <w:rPr>
          <w:rFonts w:cs="Arial"/>
          <w:szCs w:val="24"/>
        </w:rPr>
        <w:t>that people with disabilities face additional expenditures on the acquisition of goods and general services (such as having to spend more on transportation), or expenses in goods and services specifically related to disability, such as technical assistance and support products, home adaptations to improve accessibility, or staffing personal assistance. In addition, the average income of people with disabilities is often below the average for the whole population. Another aspect that has a great impact on households with low and medium incomes refers to indirect taxes</w:t>
      </w:r>
      <w:r w:rsidR="00322240" w:rsidRPr="002A111A">
        <w:rPr>
          <w:rFonts w:cs="Arial"/>
          <w:szCs w:val="24"/>
        </w:rPr>
        <w:t>.</w:t>
      </w:r>
      <w:r w:rsidRPr="002A111A">
        <w:rPr>
          <w:rFonts w:cs="Arial"/>
          <w:szCs w:val="24"/>
        </w:rPr>
        <w:t xml:space="preserve"> Also, it is important to check the rise in taxes, returning to reduce taxes from 21</w:t>
      </w:r>
      <w:r w:rsidR="00321274">
        <w:rPr>
          <w:rFonts w:cs="Arial"/>
          <w:szCs w:val="24"/>
        </w:rPr>
        <w:t xml:space="preserve"> </w:t>
      </w:r>
      <w:r w:rsidRPr="002A111A">
        <w:rPr>
          <w:rFonts w:cs="Arial"/>
          <w:szCs w:val="24"/>
        </w:rPr>
        <w:t>% to 4</w:t>
      </w:r>
      <w:r w:rsidR="00321274">
        <w:rPr>
          <w:rFonts w:cs="Arial"/>
          <w:szCs w:val="24"/>
        </w:rPr>
        <w:t xml:space="preserve"> </w:t>
      </w:r>
      <w:r w:rsidRPr="002A111A">
        <w:rPr>
          <w:rFonts w:cs="Arial"/>
          <w:szCs w:val="24"/>
        </w:rPr>
        <w:t>% of primary products in the household budget, for example, and materials related to children, such as diapers and day</w:t>
      </w:r>
      <w:r w:rsidR="00321274">
        <w:rPr>
          <w:rFonts w:cs="Arial"/>
          <w:szCs w:val="24"/>
        </w:rPr>
        <w:t xml:space="preserve"> </w:t>
      </w:r>
      <w:r w:rsidRPr="002A111A">
        <w:rPr>
          <w:rFonts w:cs="Arial"/>
          <w:szCs w:val="24"/>
        </w:rPr>
        <w:t>care services, and adult hygiene such as sanitary napkins and adult diapers. Electricity and other basic supplies for housing have very high rates and generate increasing energy poverty</w:t>
      </w:r>
      <w:r w:rsidR="00321274">
        <w:rPr>
          <w:rFonts w:cs="Arial"/>
          <w:szCs w:val="24"/>
        </w:rPr>
        <w:t>.</w:t>
      </w:r>
    </w:p>
    <w:p w14:paraId="50DD8007" w14:textId="77777777" w:rsidR="008E4ACD" w:rsidRPr="002A111A" w:rsidRDefault="008E4ACD" w:rsidP="00B446F1">
      <w:pPr>
        <w:ind w:left="567" w:hanging="567"/>
        <w:rPr>
          <w:rFonts w:cs="Arial"/>
          <w:b/>
          <w:szCs w:val="24"/>
        </w:rPr>
      </w:pPr>
    </w:p>
    <w:p w14:paraId="5C857BF6" w14:textId="75F1FFF5" w:rsidR="008E4ACD" w:rsidRPr="002A111A" w:rsidRDefault="008E4ACD" w:rsidP="00B446F1">
      <w:pPr>
        <w:pStyle w:val="Heading2"/>
        <w:rPr>
          <w:rFonts w:cs="Arial"/>
          <w:szCs w:val="24"/>
        </w:rPr>
      </w:pPr>
      <w:bookmarkStart w:id="61" w:name="_Toc529874083"/>
      <w:bookmarkStart w:id="62" w:name="_Toc7609284"/>
      <w:r w:rsidRPr="002A111A">
        <w:rPr>
          <w:rFonts w:cs="Arial"/>
          <w:szCs w:val="24"/>
        </w:rPr>
        <w:t>Pan-European and international civil society organisations</w:t>
      </w:r>
      <w:bookmarkEnd w:id="61"/>
      <w:bookmarkEnd w:id="62"/>
    </w:p>
    <w:p w14:paraId="6F242B33" w14:textId="77777777" w:rsidR="00321274" w:rsidRDefault="00321274" w:rsidP="00B446F1">
      <w:pPr>
        <w:ind w:left="567" w:hanging="567"/>
        <w:rPr>
          <w:rFonts w:cs="Arial"/>
          <w:szCs w:val="24"/>
        </w:rPr>
      </w:pPr>
    </w:p>
    <w:p w14:paraId="07F16A08" w14:textId="2A7FE676" w:rsidR="001232FB" w:rsidRPr="002A111A" w:rsidRDefault="00DA102D" w:rsidP="00321274">
      <w:r w:rsidRPr="002A111A">
        <w:t>In nearly all OECD countries, between half and three quarters of all formal</w:t>
      </w:r>
      <w:r w:rsidR="007C698D" w:rsidRPr="002A111A">
        <w:t xml:space="preserve"> long-term care</w:t>
      </w:r>
      <w:r w:rsidRPr="002A111A">
        <w:t xml:space="preserve"> </w:t>
      </w:r>
      <w:r w:rsidR="007C698D" w:rsidRPr="002A111A">
        <w:t>(</w:t>
      </w:r>
      <w:r w:rsidRPr="002A111A">
        <w:t>LTC</w:t>
      </w:r>
      <w:r w:rsidR="007C698D" w:rsidRPr="002A111A">
        <w:t>)</w:t>
      </w:r>
      <w:r w:rsidRPr="002A111A">
        <w:t xml:space="preserve"> is provided in home-care settings, with a substantial share of these suffers from dementia-related problems</w:t>
      </w:r>
      <w:r w:rsidR="00321274">
        <w:t>.</w:t>
      </w:r>
      <w:r w:rsidR="00C24A2F" w:rsidRPr="002A111A">
        <w:rPr>
          <w:rStyle w:val="FootnoteReference"/>
          <w:rFonts w:cs="Arial"/>
          <w:sz w:val="24"/>
          <w:szCs w:val="24"/>
        </w:rPr>
        <w:footnoteReference w:id="67"/>
      </w:r>
      <w:r w:rsidR="00321274">
        <w:t xml:space="preserve"> </w:t>
      </w:r>
      <w:r w:rsidRPr="002A111A">
        <w:rPr>
          <w:rStyle w:val="FootnoteReference"/>
          <w:rFonts w:cs="Arial"/>
          <w:sz w:val="24"/>
          <w:szCs w:val="24"/>
        </w:rPr>
        <w:footnoteReference w:id="68"/>
      </w:r>
      <w:r w:rsidRPr="002A111A">
        <w:t xml:space="preserve"> Very </w:t>
      </w:r>
      <w:r w:rsidR="00322240" w:rsidRPr="002A111A">
        <w:t xml:space="preserve">elderly </w:t>
      </w:r>
      <w:r w:rsidRPr="002A111A">
        <w:t>users are less likely to receive home care than younger ones. Nevertheless, more than half of the care recipients aged 80 years or over receives care at home in most countries, and only a third of all LTC users receives care in institutions. In contrast, 62</w:t>
      </w:r>
      <w:r w:rsidR="00321274">
        <w:t xml:space="preserve"> </w:t>
      </w:r>
      <w:r w:rsidRPr="002A111A">
        <w:t xml:space="preserve">% of total LTC expenditure occurs in institutional settings. LTC spending accounted for 1.5 % of GDP on average across 25 OECD countries in 2008 (In Spain </w:t>
      </w:r>
      <w:r w:rsidR="00322240" w:rsidRPr="002A111A">
        <w:t xml:space="preserve">it </w:t>
      </w:r>
      <w:r w:rsidRPr="002A111A">
        <w:t>accounted for 0.7%). This variation reflects differences in care needs, the comprehensiveness of formal systems, and family caring cultures Spending on LTC in institutions is higher than spending at home, even in countries like Spain</w:t>
      </w:r>
      <w:r w:rsidR="00FE1E8D" w:rsidRPr="002A111A">
        <w:t xml:space="preserve">. Whatever the LTC system of a country, most care is provided by family carers (and friends), as part of an ongoing social relationship. Across the OECD, more than one in ten adults aged over 50 provides informal (usually unpaid) help with </w:t>
      </w:r>
      <w:r w:rsidR="00FE1E8D" w:rsidRPr="002A111A">
        <w:lastRenderedPageBreak/>
        <w:t>personal care to people with functional limitations. Much of this informal care is of low intensity: just over half of carers are involved in caring activities involving less than ten hours per week. This low intensity of caring is particularly prevalent in Northern European countries and Switzerland. In contrast, in Southern Europe, the Czech Republic and Poland, more than 30</w:t>
      </w:r>
      <w:r w:rsidR="00321274">
        <w:t xml:space="preserve"> </w:t>
      </w:r>
      <w:r w:rsidR="00FE1E8D" w:rsidRPr="002A111A">
        <w:t>% are intensive carers supplying more than 20 hours per week), rising to over 50</w:t>
      </w:r>
      <w:r w:rsidR="00321274">
        <w:t xml:space="preserve"> </w:t>
      </w:r>
      <w:r w:rsidR="00FE1E8D" w:rsidRPr="002A111A">
        <w:t>% in Spain and over 60</w:t>
      </w:r>
      <w:r w:rsidR="00321274">
        <w:t xml:space="preserve"> </w:t>
      </w:r>
      <w:r w:rsidR="00FE1E8D" w:rsidRPr="002A111A">
        <w:t>% in Korea. This large variation signals not only different government policies on family obligations, but also cultural and societal attitudes</w:t>
      </w:r>
      <w:r w:rsidR="00321274">
        <w:t>.</w:t>
      </w:r>
      <w:r w:rsidR="005E2410" w:rsidRPr="002A111A">
        <w:rPr>
          <w:rStyle w:val="FootnoteReference"/>
          <w:rFonts w:cs="Arial"/>
          <w:sz w:val="24"/>
          <w:szCs w:val="24"/>
        </w:rPr>
        <w:footnoteReference w:id="69"/>
      </w:r>
    </w:p>
    <w:p w14:paraId="0D6505EA" w14:textId="77777777" w:rsidR="00647DE8" w:rsidRPr="002A111A" w:rsidRDefault="00647DE8" w:rsidP="00B446F1">
      <w:pPr>
        <w:rPr>
          <w:rFonts w:cs="Arial"/>
          <w:szCs w:val="24"/>
        </w:rPr>
      </w:pPr>
    </w:p>
    <w:p w14:paraId="77A09CF9" w14:textId="77777777" w:rsidR="008E4ACD" w:rsidRPr="002A111A" w:rsidRDefault="008E4ACD" w:rsidP="00B446F1">
      <w:pPr>
        <w:pStyle w:val="Heading1"/>
        <w:numPr>
          <w:ilvl w:val="0"/>
          <w:numId w:val="23"/>
        </w:numPr>
        <w:rPr>
          <w:rFonts w:cs="Arial"/>
          <w:szCs w:val="24"/>
        </w:rPr>
      </w:pPr>
      <w:bookmarkStart w:id="63" w:name="_Toc529874084"/>
      <w:bookmarkStart w:id="64" w:name="_Toc7609285"/>
      <w:r w:rsidRPr="002A111A">
        <w:rPr>
          <w:rFonts w:cs="Arial"/>
          <w:szCs w:val="24"/>
        </w:rPr>
        <w:t>Academic research</w:t>
      </w:r>
      <w:bookmarkEnd w:id="63"/>
      <w:bookmarkEnd w:id="64"/>
    </w:p>
    <w:p w14:paraId="089794B2" w14:textId="77777777" w:rsidR="00321274" w:rsidRDefault="00321274" w:rsidP="00321274">
      <w:pPr>
        <w:rPr>
          <w:rFonts w:cs="Arial"/>
          <w:szCs w:val="24"/>
        </w:rPr>
      </w:pPr>
    </w:p>
    <w:p w14:paraId="67B2FAC9" w14:textId="370061B1" w:rsidR="008E4ACD" w:rsidRPr="002A111A" w:rsidRDefault="001A07C8" w:rsidP="00321274">
      <w:pPr>
        <w:rPr>
          <w:rFonts w:cs="Arial"/>
          <w:szCs w:val="24"/>
        </w:rPr>
      </w:pPr>
      <w:r w:rsidRPr="002A111A">
        <w:rPr>
          <w:rFonts w:cs="Arial"/>
          <w:szCs w:val="24"/>
        </w:rPr>
        <w:t xml:space="preserve">A report by </w:t>
      </w:r>
      <w:r w:rsidR="007D7443" w:rsidRPr="002A111A">
        <w:rPr>
          <w:rFonts w:cs="Arial"/>
          <w:szCs w:val="24"/>
        </w:rPr>
        <w:t xml:space="preserve">Verdugo and </w:t>
      </w:r>
      <w:proofErr w:type="spellStart"/>
      <w:r w:rsidR="007D7443" w:rsidRPr="002A111A">
        <w:rPr>
          <w:rFonts w:cs="Arial"/>
          <w:szCs w:val="24"/>
        </w:rPr>
        <w:t>Navas</w:t>
      </w:r>
      <w:proofErr w:type="spellEnd"/>
      <w:r w:rsidRPr="002A111A">
        <w:rPr>
          <w:rFonts w:cs="Arial"/>
          <w:szCs w:val="24"/>
        </w:rPr>
        <w:t xml:space="preserve"> (</w:t>
      </w:r>
      <w:r w:rsidR="007D7443" w:rsidRPr="002A111A">
        <w:rPr>
          <w:rFonts w:cs="Arial"/>
          <w:szCs w:val="24"/>
        </w:rPr>
        <w:t>INICO, 2017)</w:t>
      </w:r>
      <w:r w:rsidR="007D7443" w:rsidRPr="002A111A">
        <w:rPr>
          <w:rStyle w:val="FootnoteReference"/>
          <w:rFonts w:cs="Arial"/>
          <w:sz w:val="24"/>
          <w:szCs w:val="24"/>
        </w:rPr>
        <w:footnoteReference w:id="70"/>
      </w:r>
      <w:r w:rsidR="007D7443" w:rsidRPr="002A111A">
        <w:rPr>
          <w:rFonts w:cs="Arial"/>
          <w:szCs w:val="24"/>
        </w:rPr>
        <w:t xml:space="preserve"> states that</w:t>
      </w:r>
      <w:r w:rsidR="0030687B" w:rsidRPr="002A111A">
        <w:rPr>
          <w:rFonts w:cs="Arial"/>
          <w:szCs w:val="24"/>
        </w:rPr>
        <w:t>, according to data from 2008,</w:t>
      </w:r>
      <w:r w:rsidR="007D7443" w:rsidRPr="002A111A">
        <w:rPr>
          <w:rFonts w:cs="Arial"/>
          <w:szCs w:val="24"/>
        </w:rPr>
        <w:t xml:space="preserve"> people with intellectual disabilities and greater limitations continue to experience situations of social exclusion. 20</w:t>
      </w:r>
      <w:r w:rsidR="00321274">
        <w:rPr>
          <w:rFonts w:cs="Arial"/>
          <w:szCs w:val="24"/>
        </w:rPr>
        <w:t xml:space="preserve"> </w:t>
      </w:r>
      <w:r w:rsidR="007D7443" w:rsidRPr="002A111A">
        <w:rPr>
          <w:rFonts w:cs="Arial"/>
          <w:szCs w:val="24"/>
        </w:rPr>
        <w:t xml:space="preserve">% of people with intellectual disabilities continue to </w:t>
      </w:r>
      <w:r w:rsidR="0030687B" w:rsidRPr="002A111A">
        <w:rPr>
          <w:rFonts w:cs="Arial"/>
          <w:szCs w:val="24"/>
        </w:rPr>
        <w:t xml:space="preserve">live </w:t>
      </w:r>
      <w:r w:rsidR="007D7443" w:rsidRPr="002A111A">
        <w:rPr>
          <w:rFonts w:cs="Arial"/>
          <w:szCs w:val="24"/>
        </w:rPr>
        <w:t xml:space="preserve">in </w:t>
      </w:r>
      <w:r w:rsidR="0030687B" w:rsidRPr="002A111A">
        <w:rPr>
          <w:rFonts w:cs="Arial"/>
          <w:szCs w:val="24"/>
        </w:rPr>
        <w:t>institutions</w:t>
      </w:r>
      <w:r w:rsidR="007D7443" w:rsidRPr="002A111A">
        <w:rPr>
          <w:rFonts w:cs="Arial"/>
          <w:szCs w:val="24"/>
        </w:rPr>
        <w:t>: 31,482 people out of a total of 155,981, with more than half (16,591) people with severe and profound intellectual disabilities. Eliminating these exclusion scenarios implies 'rethinking' the supports they receive. The report on the Spanish case prepared by the PSICOST</w:t>
      </w:r>
      <w:r w:rsidR="003504CD" w:rsidRPr="002A111A">
        <w:rPr>
          <w:rStyle w:val="FootnoteReference"/>
          <w:rFonts w:cs="Arial"/>
          <w:sz w:val="24"/>
          <w:szCs w:val="24"/>
        </w:rPr>
        <w:footnoteReference w:id="71"/>
      </w:r>
      <w:r w:rsidR="007D7443" w:rsidRPr="002A111A">
        <w:rPr>
          <w:rFonts w:cs="Arial"/>
          <w:szCs w:val="24"/>
        </w:rPr>
        <w:t xml:space="preserve"> group indicates that 71</w:t>
      </w:r>
      <w:r w:rsidR="00321274">
        <w:rPr>
          <w:rFonts w:cs="Arial"/>
          <w:szCs w:val="24"/>
        </w:rPr>
        <w:t xml:space="preserve"> </w:t>
      </w:r>
      <w:r w:rsidR="007D7443" w:rsidRPr="002A111A">
        <w:rPr>
          <w:rFonts w:cs="Arial"/>
          <w:szCs w:val="24"/>
        </w:rPr>
        <w:t>% of the places in residential environments for people in situations of dependency are aimed at people with intellectual disabilities. The percentage of residential places destined to population with intellectual disability that do not show dependence increases up to 81</w:t>
      </w:r>
      <w:r w:rsidR="00321274">
        <w:rPr>
          <w:rFonts w:cs="Arial"/>
          <w:szCs w:val="24"/>
        </w:rPr>
        <w:t xml:space="preserve"> </w:t>
      </w:r>
      <w:r w:rsidR="007D7443" w:rsidRPr="002A111A">
        <w:rPr>
          <w:rFonts w:cs="Arial"/>
          <w:szCs w:val="24"/>
        </w:rPr>
        <w:t>%. The dependency aids perceived by people with more severe intellectual disabilities usually consist of residential care, as opposed to other types of economic benefits.</w:t>
      </w:r>
    </w:p>
    <w:p w14:paraId="584BD473" w14:textId="77777777" w:rsidR="008E4ACD" w:rsidRPr="002A111A" w:rsidRDefault="008E4ACD" w:rsidP="00B446F1">
      <w:pPr>
        <w:tabs>
          <w:tab w:val="left" w:pos="1660"/>
        </w:tabs>
        <w:rPr>
          <w:rFonts w:cs="Arial"/>
          <w:szCs w:val="24"/>
        </w:rPr>
      </w:pPr>
    </w:p>
    <w:p w14:paraId="25F3C67A" w14:textId="77777777" w:rsidR="00321274" w:rsidRDefault="00321274">
      <w:pPr>
        <w:spacing w:after="200" w:line="276" w:lineRule="auto"/>
        <w:jc w:val="left"/>
        <w:rPr>
          <w:rFonts w:eastAsiaTheme="majorEastAsia" w:cs="Arial"/>
          <w:b/>
          <w:bCs/>
          <w:szCs w:val="24"/>
          <w:lang w:bidi="en-US"/>
        </w:rPr>
      </w:pPr>
      <w:bookmarkStart w:id="65" w:name="_Toc529874085"/>
      <w:r>
        <w:rPr>
          <w:rFonts w:cs="Arial"/>
          <w:szCs w:val="24"/>
        </w:rPr>
        <w:br w:type="page"/>
      </w:r>
    </w:p>
    <w:p w14:paraId="70221B0A" w14:textId="24B0993F" w:rsidR="008E4ACD" w:rsidRPr="002A111A" w:rsidRDefault="008E4ACD" w:rsidP="00B446F1">
      <w:pPr>
        <w:pStyle w:val="Heading1"/>
        <w:numPr>
          <w:ilvl w:val="0"/>
          <w:numId w:val="0"/>
        </w:numPr>
        <w:rPr>
          <w:rFonts w:cs="Arial"/>
          <w:szCs w:val="24"/>
        </w:rPr>
      </w:pPr>
      <w:bookmarkStart w:id="66" w:name="_Toc7609286"/>
      <w:r w:rsidRPr="002A111A">
        <w:rPr>
          <w:rFonts w:cs="Arial"/>
          <w:szCs w:val="24"/>
        </w:rPr>
        <w:lastRenderedPageBreak/>
        <w:t>PART C</w:t>
      </w:r>
      <w:r w:rsidR="00A75929" w:rsidRPr="002A111A">
        <w:rPr>
          <w:rFonts w:cs="Arial"/>
          <w:szCs w:val="24"/>
        </w:rPr>
        <w:t xml:space="preserve"> – </w:t>
      </w:r>
      <w:r w:rsidR="00DA2456" w:rsidRPr="002A111A">
        <w:rPr>
          <w:rFonts w:cs="Arial"/>
          <w:szCs w:val="24"/>
        </w:rPr>
        <w:t>K</w:t>
      </w:r>
      <w:r w:rsidRPr="002A111A">
        <w:rPr>
          <w:rFonts w:cs="Arial"/>
          <w:szCs w:val="24"/>
        </w:rPr>
        <w:t>ey points</w:t>
      </w:r>
      <w:bookmarkEnd w:id="65"/>
      <w:bookmarkEnd w:id="66"/>
    </w:p>
    <w:p w14:paraId="6774319C" w14:textId="77777777" w:rsidR="008E4ACD" w:rsidRPr="002A111A" w:rsidRDefault="008E4ACD" w:rsidP="00B446F1">
      <w:pPr>
        <w:rPr>
          <w:rFonts w:cs="Arial"/>
          <w:b/>
          <w:szCs w:val="24"/>
        </w:rPr>
      </w:pPr>
    </w:p>
    <w:p w14:paraId="6FA02BEC" w14:textId="77777777" w:rsidR="008E4ACD" w:rsidRPr="002A111A" w:rsidRDefault="008E4ACD" w:rsidP="00B446F1">
      <w:pPr>
        <w:pStyle w:val="Heading1"/>
        <w:numPr>
          <w:ilvl w:val="0"/>
          <w:numId w:val="23"/>
        </w:numPr>
        <w:rPr>
          <w:rFonts w:cs="Arial"/>
          <w:szCs w:val="24"/>
        </w:rPr>
      </w:pPr>
      <w:bookmarkStart w:id="67" w:name="_Toc529874086"/>
      <w:bookmarkStart w:id="68" w:name="_Toc7609287"/>
      <w:r w:rsidRPr="002A111A">
        <w:rPr>
          <w:rFonts w:cs="Arial"/>
          <w:szCs w:val="24"/>
        </w:rPr>
        <w:t>Positive developments, including promising practice examples</w:t>
      </w:r>
      <w:bookmarkEnd w:id="67"/>
      <w:bookmarkEnd w:id="68"/>
    </w:p>
    <w:p w14:paraId="73C46308" w14:textId="77777777" w:rsidR="00321274" w:rsidRDefault="00321274" w:rsidP="00B446F1">
      <w:pPr>
        <w:ind w:left="567" w:hanging="567"/>
        <w:rPr>
          <w:rFonts w:cs="Arial"/>
          <w:szCs w:val="24"/>
        </w:rPr>
      </w:pPr>
    </w:p>
    <w:p w14:paraId="1D6FD22B" w14:textId="501825D6" w:rsidR="00F0255A" w:rsidRDefault="00F0255A" w:rsidP="00321274">
      <w:r w:rsidRPr="002A111A">
        <w:t xml:space="preserve">In Spain, the </w:t>
      </w:r>
      <w:proofErr w:type="gramStart"/>
      <w:r w:rsidRPr="002A111A">
        <w:t>vast majority</w:t>
      </w:r>
      <w:proofErr w:type="gramEnd"/>
      <w:r w:rsidRPr="002A111A">
        <w:t xml:space="preserve"> of people with disabilities live in the community and with their families. As it is a country in which health, education and social services are public, people feel that their basic needs are met. In addition, residential / institutional care is usually focused on people with a significant decline and advanced age, in which the healthcare and health needs predominate, rather than training or otherwise.</w:t>
      </w:r>
    </w:p>
    <w:p w14:paraId="49706D5D" w14:textId="77777777" w:rsidR="00321274" w:rsidRPr="002A111A" w:rsidRDefault="00321274" w:rsidP="00321274"/>
    <w:p w14:paraId="65DE72EB" w14:textId="792074D4" w:rsidR="00F0255A" w:rsidRDefault="00F0255A" w:rsidP="00321274">
      <w:r w:rsidRPr="002A111A">
        <w:t xml:space="preserve">However, it is necessary to advance in good practices, as there are still problems related to the differences in services and supports in the different regions of the country and the disadvantage in which people with disabilities in rural areas find themselves. There is also a lack of power of the end-user of the services, when choosing the services and supports that best respond to their needs, desires or interests. Legislation in this regard is considered as more assistance than promoter of capabilities, independence and self-determination. In addition, different groups of people with disabilities claim the need to replace large residential </w:t>
      </w:r>
      <w:r w:rsidR="00EE2C62" w:rsidRPr="002A111A">
        <w:t>centres</w:t>
      </w:r>
      <w:r w:rsidRPr="002A111A">
        <w:t xml:space="preserve"> with smaller, more familiar housing alternatives included in the community.</w:t>
      </w:r>
    </w:p>
    <w:p w14:paraId="6D2EE65E" w14:textId="77777777" w:rsidR="00321274" w:rsidRPr="002A111A" w:rsidRDefault="00321274" w:rsidP="00321274"/>
    <w:p w14:paraId="21EB7D29" w14:textId="3B48A001" w:rsidR="00F0255A" w:rsidRDefault="00F0255A" w:rsidP="00321274">
      <w:r w:rsidRPr="002A111A">
        <w:t>Institutionalization, especially when it is prolonged, when it begins at an early age, when it is not chosen, when it is a situation forced by circumstances (for example, lack of accessible housing, lack of financial means, lack of educational resources or of another type in the place of origin), is associated with an inferior quality of life. This institutionalization reduces the possibilities of choosing and is also sometimes associated with bad practices and even mistreatment.</w:t>
      </w:r>
    </w:p>
    <w:p w14:paraId="6C2F29F1" w14:textId="77777777" w:rsidR="00321274" w:rsidRPr="002A111A" w:rsidRDefault="00321274" w:rsidP="00321274"/>
    <w:p w14:paraId="6FF295DD" w14:textId="6868EBBF" w:rsidR="001A07C8" w:rsidRDefault="00F0255A" w:rsidP="00321274">
      <w:r w:rsidRPr="002A111A">
        <w:t xml:space="preserve">For all these circumstances, different groups with disabilities (physical, intellectual, mental health) demand the provision of more resources to create more familiar, smaller homes, where people can make decisions about </w:t>
      </w:r>
      <w:r w:rsidR="00740616" w:rsidRPr="002A111A">
        <w:t xml:space="preserve">all aspects of everyday life. </w:t>
      </w:r>
      <w:r w:rsidRPr="002A111A">
        <w:t xml:space="preserve">They also request </w:t>
      </w:r>
      <w:r w:rsidR="00740616" w:rsidRPr="002A111A">
        <w:t xml:space="preserve">better </w:t>
      </w:r>
      <w:r w:rsidRPr="002A111A">
        <w:t xml:space="preserve">financing of these alternatives, instead of the construction of large institutions. </w:t>
      </w:r>
      <w:r w:rsidR="001A07C8" w:rsidRPr="002A111A">
        <w:t xml:space="preserve">Some </w:t>
      </w:r>
      <w:r w:rsidR="00FD17A2" w:rsidRPr="002A111A">
        <w:t xml:space="preserve">promising </w:t>
      </w:r>
      <w:r w:rsidR="00435A1F" w:rsidRPr="002A111A">
        <w:t>practices</w:t>
      </w:r>
      <w:r w:rsidR="001A07C8" w:rsidRPr="002A111A">
        <w:t xml:space="preserve"> </w:t>
      </w:r>
      <w:r w:rsidR="00FD17A2" w:rsidRPr="002A111A">
        <w:t>include</w:t>
      </w:r>
      <w:r w:rsidR="001A07C8" w:rsidRPr="002A111A">
        <w:t>:</w:t>
      </w:r>
    </w:p>
    <w:p w14:paraId="1C28FF7E" w14:textId="77777777" w:rsidR="00321274" w:rsidRPr="002A111A" w:rsidRDefault="00321274" w:rsidP="00B446F1">
      <w:pPr>
        <w:ind w:left="567" w:hanging="567"/>
        <w:rPr>
          <w:rFonts w:cs="Arial"/>
          <w:szCs w:val="24"/>
        </w:rPr>
      </w:pPr>
    </w:p>
    <w:p w14:paraId="6C0676CB" w14:textId="5C86C974" w:rsidR="00B07E95" w:rsidRPr="002A111A" w:rsidRDefault="00C53017" w:rsidP="00321274">
      <w:pPr>
        <w:pStyle w:val="ListParagraph"/>
        <w:numPr>
          <w:ilvl w:val="0"/>
          <w:numId w:val="30"/>
        </w:numPr>
        <w:ind w:left="567" w:hanging="567"/>
        <w:rPr>
          <w:rFonts w:cs="Arial"/>
          <w:szCs w:val="24"/>
        </w:rPr>
      </w:pPr>
      <w:r w:rsidRPr="002A111A">
        <w:rPr>
          <w:rFonts w:cs="Arial"/>
          <w:szCs w:val="24"/>
        </w:rPr>
        <w:t xml:space="preserve">During the month of June 2017, Full Inclusion launched an awareness campaign to make visible the reality of these people and their families, show their different life situations and claim the full exercise of their rights. It does so by holding </w:t>
      </w:r>
      <w:r w:rsidR="00321274">
        <w:rPr>
          <w:rFonts w:cs="Arial"/>
          <w:szCs w:val="24"/>
        </w:rPr>
        <w:t>four</w:t>
      </w:r>
      <w:r w:rsidRPr="002A111A">
        <w:rPr>
          <w:rFonts w:cs="Arial"/>
          <w:szCs w:val="24"/>
        </w:rPr>
        <w:t xml:space="preserve"> days in different places in Spain. </w:t>
      </w:r>
      <w:r w:rsidR="00322240" w:rsidRPr="002A111A">
        <w:rPr>
          <w:rFonts w:cs="Arial"/>
          <w:szCs w:val="24"/>
        </w:rPr>
        <w:t xml:space="preserve">On </w:t>
      </w:r>
      <w:r w:rsidRPr="002A111A">
        <w:rPr>
          <w:rFonts w:cs="Arial"/>
          <w:szCs w:val="24"/>
        </w:rPr>
        <w:t xml:space="preserve">these days there are claims related to the situation of discrimination of these people and their families, and a series of "life stories" that relate </w:t>
      </w:r>
      <w:proofErr w:type="gramStart"/>
      <w:r w:rsidRPr="002A111A">
        <w:rPr>
          <w:rFonts w:cs="Arial"/>
          <w:szCs w:val="24"/>
        </w:rPr>
        <w:t>particular cases</w:t>
      </w:r>
      <w:proofErr w:type="gramEnd"/>
      <w:r w:rsidRPr="002A111A">
        <w:rPr>
          <w:rFonts w:cs="Arial"/>
          <w:szCs w:val="24"/>
        </w:rPr>
        <w:t>.</w:t>
      </w:r>
      <w:r w:rsidR="00B07E95" w:rsidRPr="002A111A">
        <w:rPr>
          <w:rStyle w:val="FootnoteReference"/>
          <w:rFonts w:cs="Arial"/>
          <w:sz w:val="24"/>
          <w:szCs w:val="24"/>
        </w:rPr>
        <w:footnoteReference w:id="72"/>
      </w:r>
      <w:r w:rsidR="00FD17A2" w:rsidRPr="002A111A">
        <w:rPr>
          <w:rFonts w:cs="Arial"/>
          <w:szCs w:val="24"/>
        </w:rPr>
        <w:t xml:space="preserve"> </w:t>
      </w:r>
      <w:r w:rsidR="00B07E95" w:rsidRPr="002A111A">
        <w:rPr>
          <w:rFonts w:cs="Arial"/>
          <w:szCs w:val="24"/>
        </w:rPr>
        <w:t>For them, Full Inclusion has launched the "</w:t>
      </w:r>
      <w:proofErr w:type="spellStart"/>
      <w:r w:rsidR="00B07E95" w:rsidRPr="002A111A">
        <w:rPr>
          <w:rFonts w:cs="Arial"/>
          <w:szCs w:val="24"/>
        </w:rPr>
        <w:t>Tod@s</w:t>
      </w:r>
      <w:proofErr w:type="spellEnd"/>
      <w:r w:rsidR="00B07E95" w:rsidRPr="002A111A">
        <w:rPr>
          <w:rFonts w:cs="Arial"/>
          <w:szCs w:val="24"/>
        </w:rPr>
        <w:t xml:space="preserve"> </w:t>
      </w:r>
      <w:proofErr w:type="spellStart"/>
      <w:r w:rsidR="00B07E95" w:rsidRPr="002A111A">
        <w:rPr>
          <w:rFonts w:cs="Arial"/>
          <w:szCs w:val="24"/>
        </w:rPr>
        <w:t>somos</w:t>
      </w:r>
      <w:proofErr w:type="spellEnd"/>
      <w:r w:rsidR="00B07E95" w:rsidRPr="002A111A">
        <w:rPr>
          <w:rFonts w:cs="Arial"/>
          <w:szCs w:val="24"/>
        </w:rPr>
        <w:t xml:space="preserve"> </w:t>
      </w:r>
      <w:proofErr w:type="spellStart"/>
      <w:r w:rsidR="00B07E95" w:rsidRPr="002A111A">
        <w:rPr>
          <w:rFonts w:cs="Arial"/>
          <w:szCs w:val="24"/>
        </w:rPr>
        <w:t>Tod@s</w:t>
      </w:r>
      <w:proofErr w:type="spellEnd"/>
      <w:r w:rsidR="00B07E95" w:rsidRPr="002A111A">
        <w:rPr>
          <w:rFonts w:cs="Arial"/>
          <w:szCs w:val="24"/>
        </w:rPr>
        <w:t>" Project. With this positioning, Full Inclusion acquires the unwavering commitment to favo</w:t>
      </w:r>
      <w:r w:rsidR="00DD3E1B" w:rsidRPr="002A111A">
        <w:rPr>
          <w:rFonts w:cs="Arial"/>
          <w:szCs w:val="24"/>
        </w:rPr>
        <w:t>u</w:t>
      </w:r>
      <w:r w:rsidR="00B07E95" w:rsidRPr="002A111A">
        <w:rPr>
          <w:rFonts w:cs="Arial"/>
          <w:szCs w:val="24"/>
        </w:rPr>
        <w:t>r the real incorporation of ALL people, whatever their support needs, to society, and contribute to their being able to live their own lives with fullness and dignity. Full inclusion proposes:</w:t>
      </w:r>
    </w:p>
    <w:p w14:paraId="20953226" w14:textId="77777777" w:rsidR="00B07E95" w:rsidRPr="002A111A" w:rsidRDefault="00B07E95" w:rsidP="00B446F1">
      <w:pPr>
        <w:ind w:left="567"/>
        <w:rPr>
          <w:rFonts w:cs="Arial"/>
          <w:i/>
          <w:szCs w:val="24"/>
        </w:rPr>
      </w:pPr>
    </w:p>
    <w:p w14:paraId="16B1907B" w14:textId="77777777" w:rsidR="00B07E95" w:rsidRPr="00CA0B04" w:rsidRDefault="0050750E" w:rsidP="00CA0B04">
      <w:pPr>
        <w:pStyle w:val="ListParagraph"/>
        <w:numPr>
          <w:ilvl w:val="0"/>
          <w:numId w:val="27"/>
        </w:numPr>
        <w:ind w:left="1134" w:hanging="567"/>
        <w:rPr>
          <w:rFonts w:cs="Arial"/>
          <w:szCs w:val="24"/>
        </w:rPr>
      </w:pPr>
      <w:r w:rsidRPr="00CA0B04">
        <w:rPr>
          <w:rFonts w:cs="Arial"/>
          <w:szCs w:val="24"/>
        </w:rPr>
        <w:t xml:space="preserve">Calling for </w:t>
      </w:r>
      <w:r w:rsidR="00B07E95" w:rsidRPr="00CA0B04">
        <w:rPr>
          <w:rFonts w:cs="Arial"/>
          <w:szCs w:val="24"/>
        </w:rPr>
        <w:t xml:space="preserve">the </w:t>
      </w:r>
      <w:r w:rsidR="00DD3E1B" w:rsidRPr="00CA0B04">
        <w:rPr>
          <w:rFonts w:cs="Arial"/>
          <w:szCs w:val="24"/>
        </w:rPr>
        <w:t>end</w:t>
      </w:r>
      <w:r w:rsidR="00B07E95" w:rsidRPr="00CA0B04">
        <w:rPr>
          <w:rFonts w:cs="Arial"/>
          <w:szCs w:val="24"/>
        </w:rPr>
        <w:t xml:space="preserve"> of the model of </w:t>
      </w:r>
      <w:r w:rsidR="00DD3E1B" w:rsidRPr="00CA0B04">
        <w:rPr>
          <w:rFonts w:cs="Arial"/>
          <w:szCs w:val="24"/>
        </w:rPr>
        <w:t xml:space="preserve">segregated </w:t>
      </w:r>
      <w:r w:rsidR="00B07E95" w:rsidRPr="00CA0B04">
        <w:rPr>
          <w:rFonts w:cs="Arial"/>
          <w:szCs w:val="24"/>
        </w:rPr>
        <w:t xml:space="preserve">welfare </w:t>
      </w:r>
      <w:proofErr w:type="gramStart"/>
      <w:r w:rsidR="00B07E95" w:rsidRPr="00CA0B04">
        <w:rPr>
          <w:rFonts w:cs="Arial"/>
          <w:szCs w:val="24"/>
        </w:rPr>
        <w:t xml:space="preserve">services, </w:t>
      </w:r>
      <w:r w:rsidR="00DD3E1B" w:rsidRPr="00CA0B04">
        <w:rPr>
          <w:rFonts w:cs="Arial"/>
          <w:szCs w:val="24"/>
        </w:rPr>
        <w:t>and</w:t>
      </w:r>
      <w:proofErr w:type="gramEnd"/>
      <w:r w:rsidR="00B07E95" w:rsidRPr="00CA0B04">
        <w:rPr>
          <w:rFonts w:cs="Arial"/>
          <w:szCs w:val="24"/>
        </w:rPr>
        <w:t xml:space="preserve"> promoting its transformation towards a model of supports and services based on the quality of life, full citizenship, adaptation to the needs of the person and inclusion in the community.</w:t>
      </w:r>
    </w:p>
    <w:p w14:paraId="35008CC3" w14:textId="77777777" w:rsidR="00B07E95" w:rsidRPr="00CA0B04" w:rsidRDefault="00B07E95" w:rsidP="00CA0B04">
      <w:pPr>
        <w:pStyle w:val="ListParagraph"/>
        <w:numPr>
          <w:ilvl w:val="0"/>
          <w:numId w:val="27"/>
        </w:numPr>
        <w:ind w:left="1134" w:hanging="567"/>
        <w:rPr>
          <w:rFonts w:cs="Arial"/>
          <w:szCs w:val="24"/>
        </w:rPr>
      </w:pPr>
      <w:r w:rsidRPr="00CA0B04">
        <w:rPr>
          <w:rFonts w:cs="Arial"/>
          <w:szCs w:val="24"/>
        </w:rPr>
        <w:lastRenderedPageBreak/>
        <w:t>Articulat</w:t>
      </w:r>
      <w:r w:rsidR="0050750E" w:rsidRPr="00CA0B04">
        <w:rPr>
          <w:rFonts w:cs="Arial"/>
          <w:szCs w:val="24"/>
        </w:rPr>
        <w:t>ing</w:t>
      </w:r>
      <w:r w:rsidRPr="00CA0B04">
        <w:rPr>
          <w:rFonts w:cs="Arial"/>
          <w:szCs w:val="24"/>
        </w:rPr>
        <w:t xml:space="preserve"> a strict monitoring of compliance with the basic rights established by the UN Convention of rights, developing actions of social </w:t>
      </w:r>
      <w:r w:rsidR="00DD3E1B" w:rsidRPr="00CA0B04">
        <w:rPr>
          <w:rFonts w:cs="Arial"/>
          <w:szCs w:val="24"/>
        </w:rPr>
        <w:t>complaints</w:t>
      </w:r>
      <w:r w:rsidRPr="00CA0B04">
        <w:rPr>
          <w:rFonts w:cs="Arial"/>
          <w:szCs w:val="24"/>
        </w:rPr>
        <w:t xml:space="preserve"> and demand of dignified living conditions for all.</w:t>
      </w:r>
    </w:p>
    <w:p w14:paraId="7124D2A7" w14:textId="77777777" w:rsidR="00B07E95" w:rsidRPr="00CA0B04" w:rsidRDefault="00B07E95" w:rsidP="00CA0B04">
      <w:pPr>
        <w:pStyle w:val="ListParagraph"/>
        <w:numPr>
          <w:ilvl w:val="0"/>
          <w:numId w:val="27"/>
        </w:numPr>
        <w:ind w:left="1134" w:hanging="567"/>
        <w:rPr>
          <w:rFonts w:cs="Arial"/>
          <w:szCs w:val="24"/>
        </w:rPr>
      </w:pPr>
      <w:r w:rsidRPr="00CA0B04">
        <w:rPr>
          <w:rFonts w:cs="Arial"/>
          <w:szCs w:val="24"/>
        </w:rPr>
        <w:t>Support</w:t>
      </w:r>
      <w:r w:rsidR="0050750E" w:rsidRPr="00CA0B04">
        <w:rPr>
          <w:rFonts w:cs="Arial"/>
          <w:szCs w:val="24"/>
        </w:rPr>
        <w:t>ing</w:t>
      </w:r>
      <w:r w:rsidRPr="00CA0B04">
        <w:rPr>
          <w:rFonts w:cs="Arial"/>
          <w:szCs w:val="24"/>
        </w:rPr>
        <w:t xml:space="preserve"> families so that all their members can develop their life project, promoting among them an active role in the vindication of these supports.</w:t>
      </w:r>
    </w:p>
    <w:p w14:paraId="2CB24B41" w14:textId="6DD6176D" w:rsidR="00B07E95" w:rsidRPr="00CA0B04" w:rsidRDefault="00B07E95" w:rsidP="00CA0B04">
      <w:pPr>
        <w:pStyle w:val="ListParagraph"/>
        <w:numPr>
          <w:ilvl w:val="0"/>
          <w:numId w:val="27"/>
        </w:numPr>
        <w:ind w:left="1134" w:hanging="567"/>
        <w:rPr>
          <w:rFonts w:cs="Arial"/>
          <w:szCs w:val="24"/>
        </w:rPr>
      </w:pPr>
      <w:r w:rsidRPr="00CA0B04">
        <w:rPr>
          <w:rFonts w:cs="Arial"/>
          <w:szCs w:val="24"/>
        </w:rPr>
        <w:t>Work</w:t>
      </w:r>
      <w:r w:rsidR="0050750E" w:rsidRPr="00CA0B04">
        <w:rPr>
          <w:rFonts w:cs="Arial"/>
          <w:szCs w:val="24"/>
        </w:rPr>
        <w:t>ing</w:t>
      </w:r>
      <w:r w:rsidRPr="00CA0B04">
        <w:rPr>
          <w:rFonts w:cs="Arial"/>
          <w:szCs w:val="24"/>
        </w:rPr>
        <w:t xml:space="preserve"> with the environment to advance in the coordination and training of a social, health, educational, justice, ... network </w:t>
      </w:r>
      <w:r w:rsidR="00EE2C62" w:rsidRPr="00CA0B04">
        <w:rPr>
          <w:rFonts w:cs="Arial"/>
          <w:szCs w:val="24"/>
        </w:rPr>
        <w:t>centred</w:t>
      </w:r>
      <w:r w:rsidRPr="00CA0B04">
        <w:rPr>
          <w:rFonts w:cs="Arial"/>
          <w:szCs w:val="24"/>
        </w:rPr>
        <w:t xml:space="preserve"> on the person and with technical and ethical competences that ensure good support.</w:t>
      </w:r>
    </w:p>
    <w:p w14:paraId="4EFDB662" w14:textId="793C916C" w:rsidR="00B07E95" w:rsidRPr="00CA0B04" w:rsidRDefault="00B07E95" w:rsidP="00CA0B04">
      <w:pPr>
        <w:pStyle w:val="ListParagraph"/>
        <w:numPr>
          <w:ilvl w:val="0"/>
          <w:numId w:val="27"/>
        </w:numPr>
        <w:ind w:left="1134" w:hanging="567"/>
        <w:rPr>
          <w:rFonts w:cs="Arial"/>
          <w:szCs w:val="24"/>
        </w:rPr>
      </w:pPr>
      <w:r w:rsidRPr="00CA0B04">
        <w:rPr>
          <w:rFonts w:cs="Arial"/>
          <w:szCs w:val="24"/>
        </w:rPr>
        <w:t>Promot</w:t>
      </w:r>
      <w:r w:rsidR="0050750E" w:rsidRPr="00CA0B04">
        <w:rPr>
          <w:rFonts w:cs="Arial"/>
          <w:szCs w:val="24"/>
        </w:rPr>
        <w:t>ing</w:t>
      </w:r>
      <w:r w:rsidRPr="00CA0B04">
        <w:rPr>
          <w:rFonts w:cs="Arial"/>
          <w:szCs w:val="24"/>
        </w:rPr>
        <w:t xml:space="preserve"> public policies that </w:t>
      </w:r>
      <w:r w:rsidR="00CA0B04" w:rsidRPr="00CA0B04">
        <w:rPr>
          <w:rFonts w:cs="Arial"/>
          <w:szCs w:val="24"/>
        </w:rPr>
        <w:t>favour</w:t>
      </w:r>
      <w:r w:rsidRPr="00CA0B04">
        <w:rPr>
          <w:rFonts w:cs="Arial"/>
          <w:szCs w:val="24"/>
        </w:rPr>
        <w:t xml:space="preserve"> the inclusion and exercise of the rights of all persons and their families.</w:t>
      </w:r>
    </w:p>
    <w:p w14:paraId="764AA929" w14:textId="77777777" w:rsidR="00B07E95" w:rsidRPr="00CA0B04" w:rsidRDefault="00B07E95" w:rsidP="00CA0B04">
      <w:pPr>
        <w:pStyle w:val="ListParagraph"/>
        <w:numPr>
          <w:ilvl w:val="0"/>
          <w:numId w:val="27"/>
        </w:numPr>
        <w:ind w:left="1134" w:hanging="567"/>
        <w:rPr>
          <w:rFonts w:cs="Arial"/>
          <w:szCs w:val="24"/>
        </w:rPr>
      </w:pPr>
      <w:r w:rsidRPr="00CA0B04">
        <w:rPr>
          <w:rFonts w:cs="Arial"/>
          <w:szCs w:val="24"/>
        </w:rPr>
        <w:t>Demand the development of systems to collect data on the population with the most significant disabilities or, at least, guarantee that the reality of these people is reflected in the different general and specific surveys on disability.</w:t>
      </w:r>
    </w:p>
    <w:p w14:paraId="294888C0" w14:textId="77777777" w:rsidR="00785B90" w:rsidRPr="002A111A" w:rsidRDefault="00B07E95" w:rsidP="00CA0B04">
      <w:pPr>
        <w:pStyle w:val="ListParagraph"/>
        <w:numPr>
          <w:ilvl w:val="0"/>
          <w:numId w:val="27"/>
        </w:numPr>
        <w:ind w:left="1134" w:hanging="567"/>
        <w:rPr>
          <w:rFonts w:cs="Arial"/>
          <w:szCs w:val="24"/>
        </w:rPr>
      </w:pPr>
      <w:r w:rsidRPr="00CA0B04">
        <w:rPr>
          <w:rFonts w:cs="Arial"/>
          <w:szCs w:val="24"/>
        </w:rPr>
        <w:t>Ensure that all models and proposals for full inclusion include people with great support needs and their families.</w:t>
      </w:r>
      <w:r w:rsidRPr="00CA0B04">
        <w:rPr>
          <w:vertAlign w:val="superscript"/>
        </w:rPr>
        <w:footnoteReference w:id="73"/>
      </w:r>
    </w:p>
    <w:p w14:paraId="5EB2F528" w14:textId="77777777" w:rsidR="00C37333" w:rsidRPr="00CA0B04" w:rsidRDefault="00C37333" w:rsidP="00CA0B04">
      <w:pPr>
        <w:rPr>
          <w:rFonts w:cs="Arial"/>
          <w:szCs w:val="24"/>
        </w:rPr>
      </w:pPr>
    </w:p>
    <w:p w14:paraId="1273DD58" w14:textId="1A031710" w:rsidR="009F1BE1" w:rsidRPr="002A111A" w:rsidRDefault="00785B90" w:rsidP="00321274">
      <w:pPr>
        <w:pStyle w:val="ListParagraph"/>
        <w:numPr>
          <w:ilvl w:val="0"/>
          <w:numId w:val="31"/>
        </w:numPr>
        <w:ind w:left="567" w:hanging="567"/>
        <w:rPr>
          <w:rFonts w:cs="Arial"/>
          <w:szCs w:val="24"/>
        </w:rPr>
      </w:pPr>
      <w:r w:rsidRPr="002A111A">
        <w:rPr>
          <w:rFonts w:cs="Arial"/>
          <w:szCs w:val="24"/>
        </w:rPr>
        <w:t xml:space="preserve">Concerning mental health, </w:t>
      </w:r>
      <w:r w:rsidR="00024EC5" w:rsidRPr="002A111A">
        <w:rPr>
          <w:rFonts w:cs="Arial"/>
          <w:szCs w:val="24"/>
        </w:rPr>
        <w:t xml:space="preserve">a </w:t>
      </w:r>
      <w:r w:rsidR="00777653">
        <w:rPr>
          <w:rFonts w:cs="Arial"/>
          <w:szCs w:val="24"/>
        </w:rPr>
        <w:t>p</w:t>
      </w:r>
      <w:r w:rsidR="00024EC5" w:rsidRPr="002A111A">
        <w:rPr>
          <w:rFonts w:cs="Arial"/>
          <w:szCs w:val="24"/>
        </w:rPr>
        <w:t xml:space="preserve">roposition </w:t>
      </w:r>
      <w:r w:rsidRPr="002A111A">
        <w:rPr>
          <w:rFonts w:cs="Arial"/>
          <w:szCs w:val="24"/>
        </w:rPr>
        <w:t>presented by the Socialist Parliamentary Group, on the update of the National Strategy of Mental Health of the National Health System</w:t>
      </w:r>
      <w:r w:rsidR="00024EC5" w:rsidRPr="002A111A">
        <w:rPr>
          <w:rFonts w:cs="Arial"/>
          <w:szCs w:val="24"/>
        </w:rPr>
        <w:t xml:space="preserve">, </w:t>
      </w:r>
      <w:r w:rsidR="00C51D66" w:rsidRPr="002A111A">
        <w:rPr>
          <w:rFonts w:cs="Arial"/>
          <w:szCs w:val="24"/>
        </w:rPr>
        <w:t xml:space="preserve">has been approved by the Congress. The proposition </w:t>
      </w:r>
      <w:r w:rsidR="006B62CE" w:rsidRPr="002A111A">
        <w:rPr>
          <w:rFonts w:cs="Arial"/>
          <w:szCs w:val="24"/>
        </w:rPr>
        <w:t xml:space="preserve">states that: </w:t>
      </w:r>
      <w:r w:rsidRPr="002A111A">
        <w:rPr>
          <w:rFonts w:cs="Arial"/>
          <w:szCs w:val="24"/>
        </w:rPr>
        <w:t xml:space="preserve">"The Congress of Deputies urges the Government to: - Complete the evaluation of the National Strategy of Mental Health System National Health, in coordination with the Autonomous Communities and with the participation of professionals and representatives of patients and their families, with special emphasis on the evaluation of the implementation of recommended therapeutic measures, individualized intervention plans and care integrated and integral to mental illness patients by multidisciplinary teams that include family care. - </w:t>
      </w:r>
      <w:proofErr w:type="gramStart"/>
      <w:r w:rsidRPr="002A111A">
        <w:rPr>
          <w:rFonts w:cs="Arial"/>
          <w:szCs w:val="24"/>
        </w:rPr>
        <w:t>On the basis of</w:t>
      </w:r>
      <w:proofErr w:type="gramEnd"/>
      <w:r w:rsidRPr="002A111A">
        <w:rPr>
          <w:rFonts w:cs="Arial"/>
          <w:szCs w:val="24"/>
        </w:rPr>
        <w:t xml:space="preserve"> this evaluation, adopt for the period 2017-2022, a new National Strategy for Mental Health for the National Health System, which is in a position to be approved by the Interterritorial Council of the SNS, under principles of universality, equity, efficiency, solidarity and integration. This new Strategy must contemplate the multidimensional approach and the multi</w:t>
      </w:r>
      <w:r w:rsidR="0050750E" w:rsidRPr="002A111A">
        <w:rPr>
          <w:rFonts w:cs="Arial"/>
          <w:szCs w:val="24"/>
        </w:rPr>
        <w:t>-</w:t>
      </w:r>
      <w:r w:rsidRPr="002A111A">
        <w:rPr>
          <w:rFonts w:cs="Arial"/>
          <w:szCs w:val="24"/>
        </w:rPr>
        <w:t xml:space="preserve">professional response to mental illnesses, a community care orientation, with the due continuity of care, with the necessary care and support in the home, with benefits and alternative services to the institutionalization and giving an essential role to psychological and psychosocial interventions and prevention work, denouncing the therapeutic impoverishment and the pharmacological response as the main </w:t>
      </w:r>
      <w:r w:rsidR="0050750E" w:rsidRPr="002A111A">
        <w:rPr>
          <w:rFonts w:cs="Arial"/>
          <w:szCs w:val="24"/>
        </w:rPr>
        <w:t>tool</w:t>
      </w:r>
      <w:r w:rsidRPr="002A111A">
        <w:rPr>
          <w:rFonts w:cs="Arial"/>
          <w:szCs w:val="24"/>
        </w:rPr>
        <w:t>. Said Strategy must equip itself with the necessary resources to make it a reality from 2017</w:t>
      </w:r>
      <w:r w:rsidR="00321274">
        <w:rPr>
          <w:rFonts w:cs="Arial"/>
          <w:szCs w:val="24"/>
        </w:rPr>
        <w:t>-</w:t>
      </w:r>
      <w:r w:rsidRPr="002A111A">
        <w:rPr>
          <w:rFonts w:cs="Arial"/>
          <w:szCs w:val="24"/>
        </w:rPr>
        <w:t>2022, contemplating the needs of human resources, its adequate training, the participation of society and patients and research.</w:t>
      </w:r>
      <w:r w:rsidR="006B62CE" w:rsidRPr="002A111A">
        <w:rPr>
          <w:rStyle w:val="FootnoteReference"/>
          <w:rFonts w:cs="Arial"/>
          <w:sz w:val="24"/>
          <w:szCs w:val="24"/>
        </w:rPr>
        <w:footnoteReference w:id="74"/>
      </w:r>
    </w:p>
    <w:p w14:paraId="01FF3C55" w14:textId="77777777" w:rsidR="00E05741" w:rsidRPr="002A111A" w:rsidRDefault="00E05741" w:rsidP="00B446F1">
      <w:pPr>
        <w:ind w:left="567"/>
        <w:rPr>
          <w:rFonts w:cs="Arial"/>
          <w:szCs w:val="24"/>
        </w:rPr>
      </w:pPr>
    </w:p>
    <w:p w14:paraId="37BA47AB" w14:textId="4DA0F1FF" w:rsidR="00360E0F" w:rsidRPr="002A111A" w:rsidRDefault="009F1BE1" w:rsidP="00321274">
      <w:pPr>
        <w:pStyle w:val="ListParagraph"/>
        <w:numPr>
          <w:ilvl w:val="0"/>
          <w:numId w:val="31"/>
        </w:numPr>
        <w:ind w:left="567" w:hanging="567"/>
        <w:rPr>
          <w:rFonts w:cs="Arial"/>
          <w:szCs w:val="24"/>
        </w:rPr>
      </w:pPr>
      <w:r w:rsidRPr="002A111A">
        <w:rPr>
          <w:rFonts w:cs="Arial"/>
          <w:szCs w:val="24"/>
        </w:rPr>
        <w:lastRenderedPageBreak/>
        <w:t xml:space="preserve">Fundación </w:t>
      </w:r>
      <w:proofErr w:type="spellStart"/>
      <w:r w:rsidRPr="002A111A">
        <w:rPr>
          <w:rFonts w:cs="Arial"/>
          <w:szCs w:val="24"/>
        </w:rPr>
        <w:t>Pilares</w:t>
      </w:r>
      <w:proofErr w:type="spellEnd"/>
      <w:r w:rsidRPr="002A111A">
        <w:rPr>
          <w:rFonts w:cs="Arial"/>
          <w:szCs w:val="24"/>
        </w:rPr>
        <w:t xml:space="preserve"> (2017)</w:t>
      </w:r>
      <w:r w:rsidR="00321274">
        <w:rPr>
          <w:rFonts w:cs="Arial"/>
          <w:szCs w:val="24"/>
        </w:rPr>
        <w:t>,</w:t>
      </w:r>
      <w:r w:rsidRPr="002A111A">
        <w:rPr>
          <w:rStyle w:val="FootnoteReference"/>
          <w:rFonts w:eastAsiaTheme="minorEastAsia" w:cs="Arial"/>
          <w:sz w:val="24"/>
          <w:szCs w:val="24"/>
        </w:rPr>
        <w:footnoteReference w:id="75"/>
      </w:r>
      <w:r w:rsidRPr="002A111A">
        <w:rPr>
          <w:rFonts w:cs="Arial"/>
          <w:szCs w:val="24"/>
        </w:rPr>
        <w:t xml:space="preserve"> Foundation for Personal Autonomy,</w:t>
      </w:r>
      <w:r w:rsidR="00024EC5" w:rsidRPr="002A111A">
        <w:rPr>
          <w:rFonts w:cs="Arial"/>
          <w:szCs w:val="24"/>
        </w:rPr>
        <w:t xml:space="preserve"> has prop</w:t>
      </w:r>
      <w:r w:rsidR="00FD17A2" w:rsidRPr="002A111A">
        <w:rPr>
          <w:rFonts w:cs="Arial"/>
          <w:szCs w:val="24"/>
        </w:rPr>
        <w:t>osed</w:t>
      </w:r>
      <w:r w:rsidRPr="002A111A">
        <w:rPr>
          <w:rFonts w:cs="Arial"/>
          <w:szCs w:val="24"/>
        </w:rPr>
        <w:t xml:space="preserve"> the Project </w:t>
      </w:r>
      <w:proofErr w:type="spellStart"/>
      <w:r w:rsidRPr="002A111A">
        <w:rPr>
          <w:rFonts w:cs="Arial"/>
          <w:szCs w:val="24"/>
        </w:rPr>
        <w:t>Cuidarmos</w:t>
      </w:r>
      <w:proofErr w:type="spellEnd"/>
      <w:r w:rsidRPr="002A111A">
        <w:rPr>
          <w:rFonts w:cs="Arial"/>
          <w:szCs w:val="24"/>
        </w:rPr>
        <w:t xml:space="preserve"> </w:t>
      </w:r>
      <w:proofErr w:type="spellStart"/>
      <w:r w:rsidRPr="002A111A">
        <w:rPr>
          <w:rFonts w:cs="Arial"/>
          <w:szCs w:val="24"/>
        </w:rPr>
        <w:t>contigo</w:t>
      </w:r>
      <w:proofErr w:type="spellEnd"/>
      <w:r w:rsidR="00E34F28" w:rsidRPr="002A111A">
        <w:rPr>
          <w:rStyle w:val="FootnoteReference"/>
          <w:rFonts w:cs="Arial"/>
          <w:sz w:val="24"/>
          <w:szCs w:val="24"/>
        </w:rPr>
        <w:footnoteReference w:id="76"/>
      </w:r>
      <w:r w:rsidRPr="002A111A">
        <w:rPr>
          <w:rFonts w:cs="Arial"/>
          <w:szCs w:val="24"/>
        </w:rPr>
        <w:t xml:space="preserve"> </w:t>
      </w:r>
      <w:r w:rsidR="00FD17A2" w:rsidRPr="002A111A">
        <w:rPr>
          <w:rFonts w:cs="Arial"/>
          <w:szCs w:val="24"/>
        </w:rPr>
        <w:t xml:space="preserve">which </w:t>
      </w:r>
      <w:r w:rsidRPr="002A111A">
        <w:rPr>
          <w:rFonts w:cs="Arial"/>
          <w:szCs w:val="24"/>
        </w:rPr>
        <w:t xml:space="preserve">is being developed in Madrid. This project has been financed by the </w:t>
      </w:r>
      <w:proofErr w:type="spellStart"/>
      <w:r w:rsidRPr="002A111A">
        <w:rPr>
          <w:rFonts w:cs="Arial"/>
          <w:szCs w:val="24"/>
        </w:rPr>
        <w:t>Obra</w:t>
      </w:r>
      <w:proofErr w:type="spellEnd"/>
      <w:r w:rsidRPr="002A111A">
        <w:rPr>
          <w:rFonts w:cs="Arial"/>
          <w:szCs w:val="24"/>
        </w:rPr>
        <w:t xml:space="preserve"> Social La Caixa and by the Ministry of Health, Social Services and Equality, through </w:t>
      </w:r>
      <w:r w:rsidR="0050750E" w:rsidRPr="002A111A">
        <w:rPr>
          <w:rFonts w:cs="Arial"/>
          <w:szCs w:val="24"/>
        </w:rPr>
        <w:t xml:space="preserve">an </w:t>
      </w:r>
      <w:r w:rsidRPr="002A111A">
        <w:rPr>
          <w:rFonts w:cs="Arial"/>
          <w:szCs w:val="24"/>
        </w:rPr>
        <w:t xml:space="preserve">IRPF call. The first results of the evaluation (2014-2015) show, among others, improvements in the quality of life, well-being and satisfaction of both the people served and their families </w:t>
      </w:r>
      <w:r w:rsidR="0050750E" w:rsidRPr="002A111A">
        <w:rPr>
          <w:rFonts w:cs="Arial"/>
          <w:szCs w:val="24"/>
        </w:rPr>
        <w:t>care givers</w:t>
      </w:r>
      <w:r w:rsidRPr="002A111A">
        <w:rPr>
          <w:rFonts w:cs="Arial"/>
          <w:szCs w:val="24"/>
        </w:rPr>
        <w:t xml:space="preserve">. This Project is in its second phase since 2016 and has been extended to two municipalities in Alicante. The program is based on the idea that caring for a person in situations of dependency and / or with disabilities is not easy, so they offer a support program for people in situations of fragility, disability or dependency and for </w:t>
      </w:r>
      <w:r w:rsidR="0050750E" w:rsidRPr="002A111A">
        <w:rPr>
          <w:rFonts w:cs="Arial"/>
          <w:szCs w:val="24"/>
        </w:rPr>
        <w:t>care givers</w:t>
      </w:r>
      <w:r w:rsidRPr="002A111A">
        <w:rPr>
          <w:rFonts w:cs="Arial"/>
          <w:szCs w:val="24"/>
        </w:rPr>
        <w:t xml:space="preserve">, based on a model of attention respectful of their dignity and rights. The program offers interviews at home to meet the person who needs support and </w:t>
      </w:r>
      <w:r w:rsidR="0050750E" w:rsidRPr="002A111A">
        <w:rPr>
          <w:rFonts w:cs="Arial"/>
          <w:szCs w:val="24"/>
        </w:rPr>
        <w:t xml:space="preserve">for </w:t>
      </w:r>
      <w:r w:rsidRPr="002A111A">
        <w:rPr>
          <w:rFonts w:cs="Arial"/>
          <w:szCs w:val="24"/>
        </w:rPr>
        <w:t>whom they are provided, their needs and wishes and assess the adaptability of the home. Depending on each case, they offer: (1) accompaniment and monitoring of the situation. Advice to the person and their family about community resources (public or private) that may be appropriate to their situation. (2) Management and provision of proximity services, depending on the possibilities and needs and demands of families: Services for family rest and support for the person; Podiatry, physiotherapy, hairdressing, etc. (4) Orientation and training on adaptations of housing and use of technology and support products. (4) Training at home for care and self-care (delivery of the Guide Caring, taking care of yourself and feeling good). (5) Organi</w:t>
      </w:r>
      <w:r w:rsidR="00EE2C62">
        <w:rPr>
          <w:rFonts w:cs="Arial"/>
          <w:szCs w:val="24"/>
        </w:rPr>
        <w:t>s</w:t>
      </w:r>
      <w:r w:rsidRPr="002A111A">
        <w:rPr>
          <w:rFonts w:cs="Arial"/>
          <w:szCs w:val="24"/>
        </w:rPr>
        <w:t>ation and promotion of individual and group activities (after-school, leisure, cultural, educational, etc.), among other things.</w:t>
      </w:r>
      <w:r w:rsidRPr="002A111A">
        <w:rPr>
          <w:rStyle w:val="FootnoteReference"/>
          <w:rFonts w:cs="Arial"/>
          <w:sz w:val="24"/>
          <w:szCs w:val="24"/>
        </w:rPr>
        <w:footnoteReference w:id="77"/>
      </w:r>
    </w:p>
    <w:p w14:paraId="005C4D35" w14:textId="77777777" w:rsidR="00C37333" w:rsidRPr="002A111A" w:rsidRDefault="00C37333" w:rsidP="00B446F1">
      <w:pPr>
        <w:rPr>
          <w:rFonts w:cs="Arial"/>
          <w:szCs w:val="24"/>
        </w:rPr>
      </w:pPr>
    </w:p>
    <w:p w14:paraId="700AABD0" w14:textId="3E2597ED" w:rsidR="008E4ACD" w:rsidRPr="002A111A" w:rsidRDefault="00360E0F" w:rsidP="00321274">
      <w:pPr>
        <w:pStyle w:val="ListParagraph"/>
        <w:numPr>
          <w:ilvl w:val="0"/>
          <w:numId w:val="31"/>
        </w:numPr>
        <w:ind w:left="567" w:hanging="567"/>
        <w:rPr>
          <w:rFonts w:cs="Arial"/>
          <w:szCs w:val="24"/>
        </w:rPr>
      </w:pPr>
      <w:r w:rsidRPr="002A111A">
        <w:rPr>
          <w:rFonts w:cs="Arial"/>
          <w:szCs w:val="24"/>
        </w:rPr>
        <w:t>Under the project “Mi Casa” (My House)</w:t>
      </w:r>
      <w:r w:rsidR="00321274" w:rsidRPr="00777653">
        <w:rPr>
          <w:rStyle w:val="FootnoteReference"/>
          <w:rFonts w:eastAsiaTheme="majorEastAsia" w:cs="Arial"/>
          <w:sz w:val="24"/>
          <w:szCs w:val="24"/>
          <w:vertAlign w:val="baseline"/>
        </w:rPr>
        <w:t>,</w:t>
      </w:r>
      <w:r w:rsidRPr="002A111A">
        <w:rPr>
          <w:rStyle w:val="FootnoteReference"/>
          <w:rFonts w:eastAsiaTheme="majorEastAsia" w:cs="Arial"/>
          <w:sz w:val="24"/>
          <w:szCs w:val="24"/>
        </w:rPr>
        <w:footnoteReference w:id="78"/>
      </w:r>
      <w:r w:rsidRPr="002A111A">
        <w:rPr>
          <w:rFonts w:cs="Arial"/>
          <w:szCs w:val="24"/>
        </w:rPr>
        <w:t xml:space="preserve"> Plena Inclusion wants to develop housing models in the community for all people, especially those who have greater support needs and who are generally excluded from these models. The project </w:t>
      </w:r>
      <w:r w:rsidR="002055D9" w:rsidRPr="002A111A">
        <w:rPr>
          <w:rFonts w:cs="Arial"/>
          <w:szCs w:val="24"/>
        </w:rPr>
        <w:t>consists</w:t>
      </w:r>
      <w:r w:rsidRPr="002A111A">
        <w:rPr>
          <w:rFonts w:cs="Arial"/>
          <w:szCs w:val="24"/>
        </w:rPr>
        <w:t xml:space="preserve"> in the realization of Pilots for the development of models of housing and life in the community for people with great support </w:t>
      </w:r>
      <w:r w:rsidR="0050750E" w:rsidRPr="002A111A">
        <w:rPr>
          <w:rFonts w:cs="Arial"/>
          <w:szCs w:val="24"/>
        </w:rPr>
        <w:t xml:space="preserve">needs </w:t>
      </w:r>
      <w:r w:rsidRPr="002A111A">
        <w:rPr>
          <w:rFonts w:cs="Arial"/>
          <w:szCs w:val="24"/>
        </w:rPr>
        <w:t xml:space="preserve">in different parts of Spain. A project </w:t>
      </w:r>
      <w:r w:rsidR="00983986" w:rsidRPr="002A111A">
        <w:rPr>
          <w:rFonts w:cs="Arial"/>
          <w:szCs w:val="24"/>
        </w:rPr>
        <w:t xml:space="preserve">model </w:t>
      </w:r>
      <w:r w:rsidRPr="002A111A">
        <w:rPr>
          <w:rFonts w:cs="Arial"/>
          <w:szCs w:val="24"/>
        </w:rPr>
        <w:t xml:space="preserve">of </w:t>
      </w:r>
      <w:r w:rsidR="00321274">
        <w:rPr>
          <w:rFonts w:cs="Arial"/>
          <w:szCs w:val="24"/>
        </w:rPr>
        <w:t>three</w:t>
      </w:r>
      <w:r w:rsidRPr="002A111A">
        <w:rPr>
          <w:rFonts w:cs="Arial"/>
          <w:szCs w:val="24"/>
        </w:rPr>
        <w:t xml:space="preserve"> years </w:t>
      </w:r>
      <w:r w:rsidR="00983986" w:rsidRPr="002A111A">
        <w:rPr>
          <w:rFonts w:cs="Arial"/>
          <w:szCs w:val="24"/>
        </w:rPr>
        <w:t xml:space="preserve">(2019-2021) </w:t>
      </w:r>
      <w:r w:rsidRPr="002A111A">
        <w:rPr>
          <w:rFonts w:cs="Arial"/>
          <w:szCs w:val="24"/>
        </w:rPr>
        <w:t xml:space="preserve">is </w:t>
      </w:r>
      <w:r w:rsidR="00983986" w:rsidRPr="002A111A">
        <w:rPr>
          <w:rFonts w:cs="Arial"/>
          <w:szCs w:val="24"/>
        </w:rPr>
        <w:t>being developed in different parts of Spain</w:t>
      </w:r>
      <w:r w:rsidRPr="002A111A">
        <w:rPr>
          <w:rFonts w:cs="Arial"/>
          <w:szCs w:val="24"/>
        </w:rPr>
        <w:t xml:space="preserve"> </w:t>
      </w:r>
      <w:r w:rsidR="00983986" w:rsidRPr="002A111A">
        <w:rPr>
          <w:rFonts w:cs="Arial"/>
          <w:szCs w:val="24"/>
        </w:rPr>
        <w:t xml:space="preserve">in collaboration with INICO research </w:t>
      </w:r>
      <w:r w:rsidR="00EE2C62" w:rsidRPr="002A111A">
        <w:rPr>
          <w:rFonts w:cs="Arial"/>
          <w:szCs w:val="24"/>
        </w:rPr>
        <w:t>centre</w:t>
      </w:r>
      <w:r w:rsidR="00983986" w:rsidRPr="002A111A">
        <w:rPr>
          <w:rFonts w:cs="Arial"/>
          <w:szCs w:val="24"/>
        </w:rPr>
        <w:t xml:space="preserve"> at the </w:t>
      </w:r>
      <w:r w:rsidR="00983986" w:rsidRPr="002A111A">
        <w:rPr>
          <w:rFonts w:cs="Arial"/>
          <w:szCs w:val="24"/>
        </w:rPr>
        <w:lastRenderedPageBreak/>
        <w:t>University of Salamanca</w:t>
      </w:r>
      <w:r w:rsidRPr="002A111A">
        <w:rPr>
          <w:rFonts w:cs="Arial"/>
          <w:szCs w:val="24"/>
        </w:rPr>
        <w:t>. According to Plena Inclusion</w:t>
      </w:r>
      <w:r w:rsidR="00777653">
        <w:rPr>
          <w:rFonts w:cs="Arial"/>
          <w:szCs w:val="24"/>
        </w:rPr>
        <w:t>,</w:t>
      </w:r>
      <w:r w:rsidRPr="002A111A">
        <w:rPr>
          <w:rStyle w:val="FootnoteReference"/>
          <w:rFonts w:eastAsiaTheme="majorEastAsia" w:cs="Arial"/>
          <w:sz w:val="24"/>
          <w:szCs w:val="24"/>
        </w:rPr>
        <w:footnoteReference w:id="79"/>
      </w:r>
      <w:r w:rsidRPr="002A111A">
        <w:rPr>
          <w:rFonts w:cs="Arial"/>
          <w:szCs w:val="24"/>
        </w:rPr>
        <w:t xml:space="preserve"> in Spain there are already organi</w:t>
      </w:r>
      <w:r w:rsidR="00EE2C62">
        <w:rPr>
          <w:rFonts w:cs="Arial"/>
          <w:szCs w:val="24"/>
        </w:rPr>
        <w:t>s</w:t>
      </w:r>
      <w:r w:rsidRPr="002A111A">
        <w:rPr>
          <w:rFonts w:cs="Arial"/>
          <w:szCs w:val="24"/>
        </w:rPr>
        <w:t xml:space="preserve">ations that have opted for personalized housing models (small scale) and </w:t>
      </w:r>
      <w:r w:rsidR="0050750E" w:rsidRPr="002A111A">
        <w:rPr>
          <w:rFonts w:cs="Arial"/>
          <w:szCs w:val="24"/>
        </w:rPr>
        <w:t xml:space="preserve">inclusion </w:t>
      </w:r>
      <w:r w:rsidRPr="002A111A">
        <w:rPr>
          <w:rFonts w:cs="Arial"/>
          <w:szCs w:val="24"/>
        </w:rPr>
        <w:t xml:space="preserve">in the community for people with </w:t>
      </w:r>
      <w:r w:rsidR="0050750E" w:rsidRPr="002A111A">
        <w:rPr>
          <w:rFonts w:cs="Arial"/>
          <w:szCs w:val="24"/>
        </w:rPr>
        <w:t xml:space="preserve">large </w:t>
      </w:r>
      <w:r w:rsidRPr="002A111A">
        <w:rPr>
          <w:rFonts w:cs="Arial"/>
          <w:szCs w:val="24"/>
        </w:rPr>
        <w:t xml:space="preserve">support needs. In addition, other </w:t>
      </w:r>
      <w:r w:rsidR="0050750E" w:rsidRPr="002A111A">
        <w:rPr>
          <w:rFonts w:cs="Arial"/>
          <w:szCs w:val="24"/>
        </w:rPr>
        <w:t xml:space="preserve">residential care </w:t>
      </w:r>
      <w:r w:rsidR="00EE2C62" w:rsidRPr="002A111A">
        <w:rPr>
          <w:rFonts w:cs="Arial"/>
          <w:szCs w:val="24"/>
        </w:rPr>
        <w:t>centres</w:t>
      </w:r>
      <w:r w:rsidRPr="002A111A">
        <w:rPr>
          <w:rFonts w:cs="Arial"/>
          <w:szCs w:val="24"/>
        </w:rPr>
        <w:t xml:space="preserve">, larger scale, more segregated and isolated, have committed to transformation processes to guide their professional practice towards personalization and inclusion. </w:t>
      </w:r>
      <w:r w:rsidR="0050750E" w:rsidRPr="002A111A">
        <w:rPr>
          <w:rFonts w:cs="Arial"/>
          <w:szCs w:val="24"/>
        </w:rPr>
        <w:t xml:space="preserve">As of </w:t>
      </w:r>
      <w:r w:rsidRPr="002A111A">
        <w:rPr>
          <w:rFonts w:cs="Arial"/>
          <w:szCs w:val="24"/>
        </w:rPr>
        <w:t>October 2017</w:t>
      </w:r>
      <w:r w:rsidR="00983986" w:rsidRPr="002A111A">
        <w:rPr>
          <w:rFonts w:cs="Arial"/>
          <w:szCs w:val="24"/>
        </w:rPr>
        <w:t>,</w:t>
      </w:r>
      <w:r w:rsidRPr="002A111A">
        <w:rPr>
          <w:rFonts w:cs="Arial"/>
          <w:szCs w:val="24"/>
        </w:rPr>
        <w:t xml:space="preserve"> there are already 32 residential services for people with large support needs who are developing these transformation processes, supporting a total of 1,145 people with disabilities, 1,216 professionals and 190 volunteers. The number of people per residential </w:t>
      </w:r>
      <w:r w:rsidR="00EE2C62" w:rsidRPr="002A111A">
        <w:rPr>
          <w:rFonts w:cs="Arial"/>
          <w:szCs w:val="24"/>
        </w:rPr>
        <w:t>centre</w:t>
      </w:r>
      <w:r w:rsidRPr="002A111A">
        <w:rPr>
          <w:rFonts w:cs="Arial"/>
          <w:szCs w:val="24"/>
        </w:rPr>
        <w:t xml:space="preserve"> ranges from 140 to 5, with an average of 36 people. Despite the small group represented by people with large support needs compared to the general population (0.2</w:t>
      </w:r>
      <w:r w:rsidR="00EE2C62">
        <w:rPr>
          <w:rFonts w:cs="Arial"/>
          <w:szCs w:val="24"/>
        </w:rPr>
        <w:t xml:space="preserve"> </w:t>
      </w:r>
      <w:r w:rsidRPr="002A111A">
        <w:rPr>
          <w:rFonts w:cs="Arial"/>
          <w:szCs w:val="24"/>
        </w:rPr>
        <w:t>%), they need, given their support needs, a wide range of economic and human resources, requiring our Government to provide them priority when developing social policies for the provision of supports and services. That our Administration considers the needs of this group as a priority is a matter of urgency, since there is consensus when it comes to indicating an increase in the number of people that can be included in this population group, which will undoubtedly require a strategy as a social policy to guarantee access to appropriate resources</w:t>
      </w:r>
      <w:r w:rsidR="00777653">
        <w:rPr>
          <w:rFonts w:cs="Arial"/>
          <w:szCs w:val="24"/>
        </w:rPr>
        <w:t>.</w:t>
      </w:r>
      <w:r w:rsidRPr="002A111A">
        <w:rPr>
          <w:rStyle w:val="FootnoteReference"/>
          <w:rFonts w:eastAsiaTheme="majorEastAsia" w:cs="Arial"/>
          <w:sz w:val="24"/>
          <w:szCs w:val="24"/>
        </w:rPr>
        <w:footnoteReference w:id="80"/>
      </w:r>
    </w:p>
    <w:p w14:paraId="646E484B" w14:textId="77777777" w:rsidR="00191463" w:rsidRPr="002A111A" w:rsidRDefault="00191463" w:rsidP="00B446F1">
      <w:pPr>
        <w:ind w:left="567" w:hanging="567"/>
        <w:rPr>
          <w:rFonts w:cs="Arial"/>
          <w:b/>
          <w:szCs w:val="24"/>
        </w:rPr>
      </w:pPr>
    </w:p>
    <w:p w14:paraId="75D84587" w14:textId="77777777" w:rsidR="008E4ACD" w:rsidRPr="002A111A" w:rsidRDefault="008E4ACD" w:rsidP="00B446F1">
      <w:pPr>
        <w:pStyle w:val="Heading1"/>
        <w:numPr>
          <w:ilvl w:val="0"/>
          <w:numId w:val="23"/>
        </w:numPr>
        <w:rPr>
          <w:rFonts w:cs="Arial"/>
          <w:szCs w:val="24"/>
        </w:rPr>
      </w:pPr>
      <w:bookmarkStart w:id="69" w:name="_Toc529874087"/>
      <w:bookmarkStart w:id="70" w:name="_Toc7609288"/>
      <w:r w:rsidRPr="002A111A">
        <w:rPr>
          <w:rFonts w:cs="Arial"/>
          <w:szCs w:val="24"/>
        </w:rPr>
        <w:t>Negative developments including examples of poor practice</w:t>
      </w:r>
      <w:bookmarkEnd w:id="69"/>
      <w:bookmarkEnd w:id="70"/>
    </w:p>
    <w:p w14:paraId="189CE883" w14:textId="77777777" w:rsidR="00777653" w:rsidRDefault="00777653" w:rsidP="00B446F1">
      <w:pPr>
        <w:ind w:left="567" w:hanging="567"/>
        <w:rPr>
          <w:rFonts w:cs="Arial"/>
          <w:szCs w:val="24"/>
        </w:rPr>
      </w:pPr>
    </w:p>
    <w:p w14:paraId="04F0358C" w14:textId="5690A827" w:rsidR="00FB6E86" w:rsidRDefault="00FB6E86" w:rsidP="00777653">
      <w:r w:rsidRPr="002A111A">
        <w:t>The main problems in Spain in relation to the right to live independently and to be included in the community are:</w:t>
      </w:r>
    </w:p>
    <w:p w14:paraId="068FD3B6" w14:textId="77777777" w:rsidR="00777653" w:rsidRPr="002A111A" w:rsidRDefault="00777653" w:rsidP="00777653"/>
    <w:p w14:paraId="0E42E5BF" w14:textId="545B7F0A" w:rsidR="00FB6E86" w:rsidRPr="002A111A" w:rsidRDefault="00FB6E86" w:rsidP="00777653">
      <w:pPr>
        <w:pStyle w:val="pragraph"/>
        <w:numPr>
          <w:ilvl w:val="0"/>
          <w:numId w:val="35"/>
        </w:numPr>
        <w:ind w:left="567" w:hanging="567"/>
      </w:pPr>
      <w:r w:rsidRPr="002A111A">
        <w:t xml:space="preserve">Complexity, incompatibility and regional inequality in relation to the </w:t>
      </w:r>
      <w:r w:rsidR="001B27ED" w:rsidRPr="002A111A">
        <w:t xml:space="preserve">provision </w:t>
      </w:r>
      <w:r w:rsidRPr="002A111A">
        <w:t>of aid for the promotion of independent life and in the community for people with high support needs.</w:t>
      </w:r>
    </w:p>
    <w:p w14:paraId="37749878" w14:textId="75008FF8" w:rsidR="00FB6E86" w:rsidRPr="002A111A" w:rsidRDefault="00FB6E86" w:rsidP="00777653">
      <w:pPr>
        <w:pStyle w:val="pragraph"/>
        <w:numPr>
          <w:ilvl w:val="0"/>
          <w:numId w:val="35"/>
        </w:numPr>
        <w:ind w:left="567" w:hanging="567"/>
      </w:pPr>
      <w:r w:rsidRPr="002A111A">
        <w:t xml:space="preserve">The offer of services </w:t>
      </w:r>
      <w:r w:rsidR="00A43BC9" w:rsidRPr="002A111A">
        <w:t>(e.g. institutional care, day</w:t>
      </w:r>
      <w:r w:rsidR="00EE2C62">
        <w:t xml:space="preserve"> </w:t>
      </w:r>
      <w:r w:rsidR="00A43BC9" w:rsidRPr="002A111A">
        <w:t>cent</w:t>
      </w:r>
      <w:r w:rsidR="00EE2C62">
        <w:t>r</w:t>
      </w:r>
      <w:r w:rsidR="00A43BC9" w:rsidRPr="002A111A">
        <w:t xml:space="preserve">es) </w:t>
      </w:r>
      <w:r w:rsidRPr="002A111A">
        <w:t>is prioritized over economic benefits</w:t>
      </w:r>
      <w:r w:rsidR="00A43BC9" w:rsidRPr="002A111A">
        <w:t xml:space="preserve"> (e.g. money to pay a personal assistant)</w:t>
      </w:r>
      <w:r w:rsidRPr="002A111A">
        <w:t>, the amount of which is also generally insufficient. The services offered in the home are also insufficient for a person who requires continuous supervision. Finally, families or users opt for residential services versus home services.</w:t>
      </w:r>
    </w:p>
    <w:p w14:paraId="0F0A0365" w14:textId="58431CD7" w:rsidR="00FB6E86" w:rsidRPr="002A111A" w:rsidRDefault="00FB6E86" w:rsidP="00777653">
      <w:pPr>
        <w:pStyle w:val="pragraph"/>
        <w:numPr>
          <w:ilvl w:val="0"/>
          <w:numId w:val="35"/>
        </w:numPr>
        <w:ind w:left="567" w:hanging="567"/>
      </w:pPr>
      <w:r w:rsidRPr="002A111A">
        <w:t>Residential services are not</w:t>
      </w:r>
      <w:r w:rsidR="001B27ED" w:rsidRPr="002A111A">
        <w:t>,</w:t>
      </w:r>
      <w:r w:rsidRPr="002A111A">
        <w:t xml:space="preserve"> per se</w:t>
      </w:r>
      <w:r w:rsidR="001B27ED" w:rsidRPr="002A111A">
        <w:t>,</w:t>
      </w:r>
      <w:r w:rsidRPr="002A111A">
        <w:t xml:space="preserve"> a problem. The problem is more related to the management model. With the lack of respect for self-determination, individuali</w:t>
      </w:r>
      <w:r w:rsidR="00777653">
        <w:t>s</w:t>
      </w:r>
      <w:r w:rsidRPr="002A111A">
        <w:t>ation, rights, inclusion and quality of life of its users.</w:t>
      </w:r>
    </w:p>
    <w:p w14:paraId="0E30FE54" w14:textId="2BA9FEF3" w:rsidR="008E4ACD" w:rsidRPr="002A111A" w:rsidRDefault="00FB6E86" w:rsidP="00777653">
      <w:pPr>
        <w:pStyle w:val="pragraph"/>
        <w:numPr>
          <w:ilvl w:val="0"/>
          <w:numId w:val="35"/>
        </w:numPr>
        <w:ind w:left="567" w:hanging="567"/>
      </w:pPr>
      <w:r w:rsidRPr="002A111A">
        <w:t>Although the cost of a residential service is higher for the state, it is a cost that is usually subsidized for the user, so it is cheaper for the person with disability and high support needs to reside in an institution.</w:t>
      </w:r>
      <w:r w:rsidR="00701A9C" w:rsidRPr="002A111A">
        <w:t xml:space="preserve"> This situ</w:t>
      </w:r>
      <w:r w:rsidR="00CF0101" w:rsidRPr="002A111A">
        <w:t xml:space="preserve">ation explains why </w:t>
      </w:r>
      <w:proofErr w:type="gramStart"/>
      <w:r w:rsidR="00CF0101" w:rsidRPr="002A111A">
        <w:t>the majority of</w:t>
      </w:r>
      <w:proofErr w:type="gramEnd"/>
      <w:r w:rsidR="00CF0101" w:rsidRPr="002A111A">
        <w:t xml:space="preserve"> people with the most severe needs are living in institutions</w:t>
      </w:r>
      <w:r w:rsidR="00777653">
        <w:t>.</w:t>
      </w:r>
    </w:p>
    <w:p w14:paraId="08999EAE" w14:textId="33A6894B" w:rsidR="00191463" w:rsidRDefault="00191463" w:rsidP="00B446F1">
      <w:pPr>
        <w:ind w:left="567" w:hanging="567"/>
        <w:rPr>
          <w:rFonts w:cs="Arial"/>
          <w:b/>
          <w:szCs w:val="24"/>
        </w:rPr>
      </w:pPr>
    </w:p>
    <w:p w14:paraId="16EDD3FF" w14:textId="3CEA97A2" w:rsidR="00777653" w:rsidRDefault="00777653" w:rsidP="00B446F1">
      <w:pPr>
        <w:ind w:left="567" w:hanging="567"/>
        <w:rPr>
          <w:rFonts w:cs="Arial"/>
          <w:b/>
          <w:szCs w:val="24"/>
        </w:rPr>
      </w:pPr>
    </w:p>
    <w:p w14:paraId="0EC7EBF5" w14:textId="6700A379" w:rsidR="00777653" w:rsidRDefault="00777653" w:rsidP="00B446F1">
      <w:pPr>
        <w:ind w:left="567" w:hanging="567"/>
        <w:rPr>
          <w:rFonts w:cs="Arial"/>
          <w:b/>
          <w:szCs w:val="24"/>
        </w:rPr>
      </w:pPr>
    </w:p>
    <w:p w14:paraId="1E8C55B7" w14:textId="77777777" w:rsidR="00777653" w:rsidRPr="002A111A" w:rsidRDefault="00777653" w:rsidP="00B446F1">
      <w:pPr>
        <w:ind w:left="567" w:hanging="567"/>
        <w:rPr>
          <w:rFonts w:cs="Arial"/>
          <w:b/>
          <w:szCs w:val="24"/>
        </w:rPr>
      </w:pPr>
    </w:p>
    <w:p w14:paraId="08693B9A" w14:textId="77777777" w:rsidR="0071002D" w:rsidRPr="002A111A" w:rsidRDefault="008E4ACD" w:rsidP="00B446F1">
      <w:pPr>
        <w:pStyle w:val="Heading1"/>
        <w:numPr>
          <w:ilvl w:val="0"/>
          <w:numId w:val="23"/>
        </w:numPr>
        <w:rPr>
          <w:rFonts w:cs="Arial"/>
          <w:szCs w:val="24"/>
        </w:rPr>
      </w:pPr>
      <w:bookmarkStart w:id="71" w:name="_Toc529874088"/>
      <w:bookmarkStart w:id="72" w:name="_Toc7609289"/>
      <w:r w:rsidRPr="002A111A">
        <w:rPr>
          <w:rFonts w:cs="Arial"/>
          <w:szCs w:val="24"/>
        </w:rPr>
        <w:lastRenderedPageBreak/>
        <w:t>Recommendations</w:t>
      </w:r>
      <w:bookmarkEnd w:id="71"/>
      <w:bookmarkEnd w:id="72"/>
    </w:p>
    <w:p w14:paraId="6D5ED0E5" w14:textId="77777777" w:rsidR="00777653" w:rsidRDefault="00777653" w:rsidP="00B446F1">
      <w:pPr>
        <w:ind w:left="567" w:hanging="567"/>
        <w:rPr>
          <w:rFonts w:cs="Arial"/>
          <w:szCs w:val="24"/>
        </w:rPr>
      </w:pPr>
    </w:p>
    <w:p w14:paraId="482033E0" w14:textId="755A0A14" w:rsidR="003135E2" w:rsidRPr="00777653" w:rsidRDefault="003135E2" w:rsidP="00777653">
      <w:pPr>
        <w:pStyle w:val="ListParagraph"/>
        <w:numPr>
          <w:ilvl w:val="0"/>
          <w:numId w:val="36"/>
        </w:numPr>
        <w:ind w:left="567" w:hanging="567"/>
        <w:rPr>
          <w:rFonts w:cs="Arial"/>
          <w:szCs w:val="24"/>
        </w:rPr>
      </w:pPr>
      <w:r w:rsidRPr="00777653">
        <w:rPr>
          <w:rFonts w:cs="Arial"/>
          <w:szCs w:val="24"/>
        </w:rPr>
        <w:t>Greater, better and more transparent use of public monies for the promotion of services consistent with the right to an independent life and included in the community.</w:t>
      </w:r>
    </w:p>
    <w:p w14:paraId="1672E34E" w14:textId="303CF3D4" w:rsidR="003135E2" w:rsidRPr="00777653" w:rsidRDefault="003135E2" w:rsidP="00777653">
      <w:pPr>
        <w:pStyle w:val="ListParagraph"/>
        <w:numPr>
          <w:ilvl w:val="0"/>
          <w:numId w:val="36"/>
        </w:numPr>
        <w:ind w:left="567" w:hanging="567"/>
        <w:rPr>
          <w:rFonts w:cs="Arial"/>
          <w:szCs w:val="24"/>
        </w:rPr>
      </w:pPr>
      <w:r w:rsidRPr="00777653">
        <w:rPr>
          <w:rFonts w:cs="Arial"/>
          <w:szCs w:val="24"/>
        </w:rPr>
        <w:t xml:space="preserve">More dissemination of results of studies, research, initiatives, financed with </w:t>
      </w:r>
      <w:r w:rsidR="001B27ED" w:rsidRPr="00777653">
        <w:rPr>
          <w:rFonts w:cs="Arial"/>
          <w:szCs w:val="24"/>
        </w:rPr>
        <w:t>state</w:t>
      </w:r>
      <w:r w:rsidRPr="00777653">
        <w:rPr>
          <w:rFonts w:cs="Arial"/>
          <w:szCs w:val="24"/>
        </w:rPr>
        <w:t xml:space="preserve">, European, public funds, etc., that </w:t>
      </w:r>
      <w:r w:rsidR="001B27ED" w:rsidRPr="00777653">
        <w:rPr>
          <w:rFonts w:cs="Arial"/>
          <w:szCs w:val="24"/>
        </w:rPr>
        <w:t xml:space="preserve">provide </w:t>
      </w:r>
      <w:r w:rsidRPr="00777653">
        <w:rPr>
          <w:rFonts w:cs="Arial"/>
          <w:szCs w:val="24"/>
        </w:rPr>
        <w:t>solid evidence on the results of deinstitutionalization of different groups with different personal and social circumstances.</w:t>
      </w:r>
    </w:p>
    <w:p w14:paraId="5086F363" w14:textId="579D64ED" w:rsidR="00191463" w:rsidRPr="00777653" w:rsidRDefault="003135E2" w:rsidP="00777653">
      <w:pPr>
        <w:pStyle w:val="ListParagraph"/>
        <w:numPr>
          <w:ilvl w:val="0"/>
          <w:numId w:val="36"/>
        </w:numPr>
        <w:ind w:left="567" w:hanging="567"/>
        <w:rPr>
          <w:rFonts w:cs="Arial"/>
          <w:szCs w:val="24"/>
        </w:rPr>
      </w:pPr>
      <w:r w:rsidRPr="00777653">
        <w:rPr>
          <w:rFonts w:cs="Arial"/>
          <w:szCs w:val="24"/>
        </w:rPr>
        <w:t xml:space="preserve">Financing of research and experiences with European funds in relation to deinstitutionalization. Better access to these investigations and their results. More transparency and ease of consultation of </w:t>
      </w:r>
      <w:r w:rsidR="0005196C" w:rsidRPr="00777653">
        <w:rPr>
          <w:rFonts w:cs="Arial"/>
          <w:szCs w:val="24"/>
        </w:rPr>
        <w:t>such</w:t>
      </w:r>
      <w:r w:rsidRPr="00777653">
        <w:rPr>
          <w:rFonts w:cs="Arial"/>
          <w:szCs w:val="24"/>
        </w:rPr>
        <w:t xml:space="preserve"> investigations and subsidized projects. We have not been able to find information on </w:t>
      </w:r>
      <w:r w:rsidR="0005196C" w:rsidRPr="00777653">
        <w:rPr>
          <w:rFonts w:cs="Arial"/>
          <w:szCs w:val="24"/>
        </w:rPr>
        <w:t xml:space="preserve">Spanish or European </w:t>
      </w:r>
      <w:r w:rsidRPr="00777653">
        <w:rPr>
          <w:rFonts w:cs="Arial"/>
          <w:szCs w:val="24"/>
        </w:rPr>
        <w:t>government pages about how European Structural and Investment Funds are being used to support community living for persons with disabilities, children and older persons. We find ourselves with the same problem highlighted by the FRA, when it states that: “Operational programmes do not include the level of detail required to identify the exact allocation and distribution of funds to support the transition from institutional to community-based support”</w:t>
      </w:r>
      <w:r w:rsidR="00C55BCA" w:rsidRPr="00777653">
        <w:rPr>
          <w:rFonts w:cs="Arial"/>
          <w:szCs w:val="24"/>
        </w:rPr>
        <w:t xml:space="preserve">. In sum, there is a big gap between the aims, goals, </w:t>
      </w:r>
      <w:r w:rsidR="000A36CA" w:rsidRPr="00777653">
        <w:rPr>
          <w:rFonts w:cs="Arial"/>
          <w:szCs w:val="24"/>
        </w:rPr>
        <w:t>recommendations in the EU funding instruments, and their translation to specific local and national programmes. Smaller organi</w:t>
      </w:r>
      <w:r w:rsidR="00EE2C62" w:rsidRPr="00777653">
        <w:rPr>
          <w:rFonts w:cs="Arial"/>
          <w:szCs w:val="24"/>
        </w:rPr>
        <w:t>s</w:t>
      </w:r>
      <w:r w:rsidR="000A36CA" w:rsidRPr="00777653">
        <w:rPr>
          <w:rFonts w:cs="Arial"/>
          <w:szCs w:val="24"/>
        </w:rPr>
        <w:t>ations that traditionally request funds for projects financed with 0.7</w:t>
      </w:r>
      <w:r w:rsidR="00EE2C62" w:rsidRPr="00777653">
        <w:rPr>
          <w:rFonts w:cs="Arial"/>
          <w:szCs w:val="24"/>
        </w:rPr>
        <w:t xml:space="preserve"> </w:t>
      </w:r>
      <w:r w:rsidR="000A36CA" w:rsidRPr="00777653">
        <w:rPr>
          <w:rFonts w:cs="Arial"/>
          <w:szCs w:val="24"/>
        </w:rPr>
        <w:t>% of IRPF are discouraged from applying for European funds perceived as distant to their daily life and with great difficulty in their management.</w:t>
      </w:r>
    </w:p>
    <w:sectPr w:rsidR="00191463" w:rsidRPr="00777653" w:rsidSect="00A75929">
      <w:headerReference w:type="default" r:id="rId10"/>
      <w:footerReference w:type="default" r:id="rId11"/>
      <w:pgSz w:w="11899" w:h="16838" w:code="9"/>
      <w:pgMar w:top="1560" w:right="1418" w:bottom="1418" w:left="1418" w:header="0" w:footer="414"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8B92B" w14:textId="77777777" w:rsidR="008B6471" w:rsidRDefault="008B6471" w:rsidP="00D9246D">
      <w:r>
        <w:separator/>
      </w:r>
    </w:p>
  </w:endnote>
  <w:endnote w:type="continuationSeparator" w:id="0">
    <w:p w14:paraId="399F3022" w14:textId="77777777" w:rsidR="008B6471" w:rsidRDefault="008B6471" w:rsidP="00D9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370762"/>
      <w:docPartObj>
        <w:docPartGallery w:val="Page Numbers (Bottom of Page)"/>
        <w:docPartUnique/>
      </w:docPartObj>
    </w:sdtPr>
    <w:sdtEndPr>
      <w:rPr>
        <w:noProof/>
      </w:rPr>
    </w:sdtEndPr>
    <w:sdtContent>
      <w:p w14:paraId="113EF1A8" w14:textId="77777777" w:rsidR="008B6471" w:rsidRDefault="008B6471">
        <w:pPr>
          <w:pStyle w:val="Footer"/>
          <w:jc w:val="center"/>
        </w:pPr>
        <w:r>
          <w:rPr>
            <w:noProof/>
          </w:rPr>
          <w:fldChar w:fldCharType="begin"/>
        </w:r>
        <w:r>
          <w:rPr>
            <w:noProof/>
          </w:rPr>
          <w:instrText xml:space="preserve"> PAGE   \* MERGEFORMAT </w:instrText>
        </w:r>
        <w:r>
          <w:rPr>
            <w:noProof/>
          </w:rPr>
          <w:fldChar w:fldCharType="separate"/>
        </w:r>
        <w:r>
          <w:rPr>
            <w:noProof/>
          </w:rPr>
          <w:t>27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82C44" w14:textId="77777777" w:rsidR="008B6471" w:rsidRDefault="008B6471" w:rsidP="00D9246D">
      <w:r>
        <w:separator/>
      </w:r>
    </w:p>
  </w:footnote>
  <w:footnote w:type="continuationSeparator" w:id="0">
    <w:p w14:paraId="01F4BB49" w14:textId="77777777" w:rsidR="008B6471" w:rsidRDefault="008B6471" w:rsidP="00D9246D">
      <w:r>
        <w:continuationSeparator/>
      </w:r>
    </w:p>
  </w:footnote>
  <w:footnote w:id="1">
    <w:p w14:paraId="03A49F13" w14:textId="57038622" w:rsidR="008B6471" w:rsidRPr="00B446F1" w:rsidRDefault="008B6471" w:rsidP="00A22C73">
      <w:pPr>
        <w:ind w:left="284" w:hanging="284"/>
        <w:jc w:val="left"/>
        <w:rPr>
          <w:rFonts w:cs="Arial"/>
          <w:sz w:val="20"/>
          <w:lang w:val="en-US"/>
        </w:rPr>
      </w:pPr>
      <w:r w:rsidRPr="00B446F1">
        <w:rPr>
          <w:rStyle w:val="FootnoteReference"/>
          <w:rFonts w:cs="Arial"/>
        </w:rPr>
        <w:footnoteRef/>
      </w:r>
      <w:r>
        <w:rPr>
          <w:rFonts w:cs="Arial"/>
          <w:sz w:val="20"/>
          <w:lang w:val="es-ES"/>
        </w:rPr>
        <w:t xml:space="preserve"> </w:t>
      </w:r>
      <w:r>
        <w:rPr>
          <w:rFonts w:cs="Arial"/>
          <w:sz w:val="20"/>
          <w:lang w:val="es-ES"/>
        </w:rPr>
        <w:tab/>
      </w:r>
      <w:r w:rsidRPr="00B446F1">
        <w:rPr>
          <w:rFonts w:cs="Arial"/>
          <w:sz w:val="20"/>
          <w:lang w:val="es-ES"/>
        </w:rPr>
        <w:t>Huete, A. (</w:t>
      </w:r>
      <w:proofErr w:type="spellStart"/>
      <w:r w:rsidRPr="00B446F1">
        <w:rPr>
          <w:rFonts w:cs="Arial"/>
          <w:sz w:val="20"/>
          <w:lang w:val="es-ES"/>
        </w:rPr>
        <w:t>dir</w:t>
      </w:r>
      <w:proofErr w:type="spellEnd"/>
      <w:r w:rsidRPr="00B446F1">
        <w:rPr>
          <w:rFonts w:cs="Arial"/>
          <w:sz w:val="20"/>
          <w:lang w:val="es-ES"/>
        </w:rPr>
        <w:t xml:space="preserve">). (2015). Observatorio Estatal de la Discapacidad. Institucionalización de las personas con discapacidad en España. Madrid: Observatorio Estatal de la Discapacidad. </w:t>
      </w:r>
      <w:r w:rsidRPr="00B446F1">
        <w:rPr>
          <w:rFonts w:cs="Arial"/>
          <w:sz w:val="20"/>
        </w:rPr>
        <w:t xml:space="preserve">2015. Available at: </w:t>
      </w:r>
      <w:hyperlink r:id="rId1" w:history="1">
        <w:r w:rsidRPr="00B446F1">
          <w:rPr>
            <w:rStyle w:val="Hyperlink"/>
            <w:rFonts w:cs="Arial"/>
            <w:sz w:val="20"/>
            <w:lang w:val="en-US"/>
          </w:rPr>
          <w:t>https://observatoriodeladiscapacidad.info/attachments/article/65/ESTUDIO%20INSTITUCIONALIZACION%20PCD.pdf</w:t>
        </w:r>
      </w:hyperlink>
      <w:r w:rsidRPr="00B446F1">
        <w:rPr>
          <w:rFonts w:cs="Arial"/>
          <w:sz w:val="20"/>
          <w:lang w:val="es-ES"/>
        </w:rPr>
        <w:t>.</w:t>
      </w:r>
      <w:r w:rsidRPr="00B446F1">
        <w:rPr>
          <w:rFonts w:cs="Arial"/>
          <w:sz w:val="20"/>
          <w:lang w:val="en-US"/>
        </w:rPr>
        <w:t xml:space="preserve"> </w:t>
      </w:r>
    </w:p>
  </w:footnote>
  <w:footnote w:id="2">
    <w:p w14:paraId="2C1E07C1" w14:textId="3D3D9E65" w:rsidR="008B6471" w:rsidRPr="00B446F1" w:rsidRDefault="008B6471" w:rsidP="00A22C73">
      <w:pPr>
        <w:ind w:left="284" w:hanging="284"/>
        <w:jc w:val="left"/>
        <w:rPr>
          <w:rFonts w:cs="Arial"/>
          <w:sz w:val="20"/>
          <w:lang w:val="en-US"/>
        </w:rPr>
      </w:pPr>
      <w:r w:rsidRPr="00B446F1">
        <w:rPr>
          <w:rStyle w:val="FootnoteReference"/>
          <w:rFonts w:cs="Arial"/>
        </w:rPr>
        <w:footnoteRef/>
      </w:r>
      <w:r w:rsidRPr="00B446F1">
        <w:rPr>
          <w:rFonts w:cs="Arial"/>
          <w:sz w:val="20"/>
          <w:lang w:val="es-ES"/>
        </w:rPr>
        <w:t xml:space="preserve"> </w:t>
      </w:r>
      <w:r>
        <w:rPr>
          <w:rFonts w:cs="Arial"/>
          <w:sz w:val="20"/>
          <w:lang w:val="es-ES"/>
        </w:rPr>
        <w:tab/>
      </w:r>
      <w:r w:rsidRPr="00B446F1">
        <w:rPr>
          <w:rFonts w:cs="Arial"/>
          <w:sz w:val="20"/>
          <w:lang w:val="es-ES"/>
        </w:rPr>
        <w:t xml:space="preserve">Instituto Nacional de Estadística (2008). Encuesta de Discapacidad, Autonomía personal y situaciones de Dependencia (EDAD). </w:t>
      </w:r>
      <w:r w:rsidRPr="00B446F1">
        <w:rPr>
          <w:rFonts w:cs="Arial"/>
          <w:sz w:val="20"/>
          <w:lang w:val="en-US"/>
        </w:rPr>
        <w:t xml:space="preserve">Available at: </w:t>
      </w:r>
      <w:hyperlink r:id="rId2" w:history="1">
        <w:r w:rsidRPr="00B446F1">
          <w:rPr>
            <w:rStyle w:val="Hyperlink"/>
            <w:rFonts w:eastAsiaTheme="majorEastAsia" w:cs="Arial"/>
            <w:sz w:val="20"/>
            <w:lang w:val="en-US"/>
          </w:rPr>
          <w:t>http://sid.usal.es/estadisticas_edad2008.asp</w:t>
        </w:r>
      </w:hyperlink>
      <w:r w:rsidRPr="00B446F1">
        <w:rPr>
          <w:rFonts w:cs="Arial"/>
          <w:sz w:val="20"/>
          <w:lang w:val="es-ES"/>
        </w:rPr>
        <w:t>.</w:t>
      </w:r>
      <w:r w:rsidRPr="00B446F1">
        <w:rPr>
          <w:rFonts w:cs="Arial"/>
          <w:sz w:val="20"/>
          <w:lang w:val="en-US"/>
        </w:rPr>
        <w:t xml:space="preserve"> </w:t>
      </w:r>
    </w:p>
  </w:footnote>
  <w:footnote w:id="3">
    <w:p w14:paraId="5D77555F" w14:textId="180D8455" w:rsidR="008B6471" w:rsidRPr="00B446F1" w:rsidRDefault="008B6471" w:rsidP="00A22C73">
      <w:pPr>
        <w:ind w:left="284" w:hanging="284"/>
        <w:jc w:val="left"/>
        <w:rPr>
          <w:rFonts w:cs="Arial"/>
          <w:sz w:val="20"/>
          <w:lang w:val="en-US"/>
        </w:rPr>
      </w:pPr>
      <w:r w:rsidRPr="00B446F1">
        <w:rPr>
          <w:rStyle w:val="FootnoteReference"/>
          <w:rFonts w:cs="Arial"/>
        </w:rPr>
        <w:footnoteRef/>
      </w:r>
      <w:r>
        <w:rPr>
          <w:rFonts w:cs="Arial"/>
          <w:sz w:val="20"/>
          <w:lang w:val="en-US"/>
        </w:rPr>
        <w:t xml:space="preserve"> </w:t>
      </w:r>
      <w:r>
        <w:rPr>
          <w:rFonts w:cs="Arial"/>
          <w:sz w:val="20"/>
          <w:lang w:val="en-US"/>
        </w:rPr>
        <w:tab/>
      </w:r>
      <w:proofErr w:type="spellStart"/>
      <w:r w:rsidRPr="00B446F1">
        <w:rPr>
          <w:rFonts w:cs="Arial"/>
          <w:sz w:val="20"/>
          <w:lang w:val="en-US"/>
        </w:rPr>
        <w:t>Huete</w:t>
      </w:r>
      <w:proofErr w:type="spellEnd"/>
      <w:r w:rsidRPr="00B446F1">
        <w:rPr>
          <w:rFonts w:cs="Arial"/>
          <w:sz w:val="20"/>
          <w:lang w:val="en-US"/>
        </w:rPr>
        <w:t>, A. (</w:t>
      </w:r>
      <w:proofErr w:type="spellStart"/>
      <w:r w:rsidRPr="00B446F1">
        <w:rPr>
          <w:rFonts w:cs="Arial"/>
          <w:sz w:val="20"/>
          <w:lang w:val="en-US"/>
        </w:rPr>
        <w:t>dir</w:t>
      </w:r>
      <w:proofErr w:type="spellEnd"/>
      <w:r w:rsidRPr="00B446F1">
        <w:rPr>
          <w:rFonts w:cs="Arial"/>
          <w:sz w:val="20"/>
          <w:lang w:val="en-US"/>
        </w:rPr>
        <w:t xml:space="preserve">). </w:t>
      </w:r>
      <w:r w:rsidRPr="00B446F1">
        <w:rPr>
          <w:rFonts w:cs="Arial"/>
          <w:sz w:val="20"/>
          <w:lang w:val="es-ES"/>
        </w:rPr>
        <w:t xml:space="preserve">(2015). Observatorio Estatal de la Discapacidad. Institucionalización de las personas con discapacidad en España. Madrid: Observatorio Estatal de la Discapacidad. </w:t>
      </w:r>
      <w:r w:rsidRPr="00B446F1">
        <w:rPr>
          <w:rFonts w:cs="Arial"/>
          <w:sz w:val="20"/>
        </w:rPr>
        <w:t xml:space="preserve">2015. Available at: </w:t>
      </w:r>
      <w:hyperlink r:id="rId3" w:history="1">
        <w:r w:rsidRPr="00C202A6">
          <w:rPr>
            <w:rStyle w:val="Hyperlink"/>
            <w:rFonts w:cs="Arial"/>
            <w:sz w:val="20"/>
            <w:lang w:val="en-US"/>
          </w:rPr>
          <w:t>https://observatoriodeladiscapacidad.info/attachments/article/65/ESTUDIO%20INSTITUCIONALIZACION%20PCD.pdf</w:t>
        </w:r>
      </w:hyperlink>
      <w:r>
        <w:rPr>
          <w:rFonts w:cs="Arial"/>
          <w:sz w:val="20"/>
          <w:lang w:val="en-US"/>
        </w:rPr>
        <w:t xml:space="preserve">. </w:t>
      </w:r>
    </w:p>
  </w:footnote>
  <w:footnote w:id="4">
    <w:p w14:paraId="46130390" w14:textId="599A80D3" w:rsidR="008B6471" w:rsidRPr="00B446F1" w:rsidRDefault="008B6471" w:rsidP="00A22C73">
      <w:pPr>
        <w:ind w:left="284" w:hanging="284"/>
        <w:jc w:val="left"/>
        <w:rPr>
          <w:rFonts w:cs="Arial"/>
          <w:sz w:val="20"/>
          <w:lang w:val="en-US"/>
        </w:rPr>
      </w:pPr>
      <w:r w:rsidRPr="00B446F1">
        <w:rPr>
          <w:rStyle w:val="FootnoteReference"/>
          <w:rFonts w:cs="Arial"/>
        </w:rPr>
        <w:footnoteRef/>
      </w:r>
      <w:r>
        <w:rPr>
          <w:rFonts w:cs="Arial"/>
          <w:sz w:val="20"/>
          <w:lang w:val="es-ES"/>
        </w:rPr>
        <w:t xml:space="preserve"> </w:t>
      </w:r>
      <w:r>
        <w:rPr>
          <w:rFonts w:cs="Arial"/>
          <w:sz w:val="20"/>
          <w:lang w:val="es-ES"/>
        </w:rPr>
        <w:tab/>
      </w:r>
      <w:r w:rsidRPr="00B446F1">
        <w:rPr>
          <w:rFonts w:cs="Arial"/>
          <w:sz w:val="20"/>
          <w:lang w:val="es-ES"/>
        </w:rPr>
        <w:t>Huete, A. (</w:t>
      </w:r>
      <w:proofErr w:type="spellStart"/>
      <w:r w:rsidRPr="00B446F1">
        <w:rPr>
          <w:rFonts w:cs="Arial"/>
          <w:sz w:val="20"/>
          <w:lang w:val="es-ES"/>
        </w:rPr>
        <w:t>dir</w:t>
      </w:r>
      <w:proofErr w:type="spellEnd"/>
      <w:r w:rsidRPr="00B446F1">
        <w:rPr>
          <w:rFonts w:cs="Arial"/>
          <w:sz w:val="20"/>
          <w:lang w:val="es-ES"/>
        </w:rPr>
        <w:t xml:space="preserve">). (2015). Observatorio Estatal de la Discapacidad. Institucionalización de las personas con discapacidad en España. Madrid: Observatorio Estatal de la Discapacidad. </w:t>
      </w:r>
      <w:r w:rsidRPr="00B446F1">
        <w:rPr>
          <w:rFonts w:cs="Arial"/>
          <w:sz w:val="20"/>
        </w:rPr>
        <w:t>2015. Available at</w:t>
      </w:r>
      <w:r w:rsidRPr="00B446F1">
        <w:rPr>
          <w:rFonts w:cs="Arial"/>
          <w:sz w:val="20"/>
          <w:lang w:val="en-US"/>
        </w:rPr>
        <w:t xml:space="preserve">: </w:t>
      </w:r>
      <w:hyperlink r:id="rId4" w:history="1">
        <w:r w:rsidRPr="00B446F1">
          <w:rPr>
            <w:rStyle w:val="Hyperlink"/>
            <w:rFonts w:cs="Arial"/>
            <w:sz w:val="20"/>
            <w:lang w:val="en-US"/>
          </w:rPr>
          <w:t>https://observatoriodeladiscapacidad.info/attachments/article/65/ESTUDIO%20INSTITUCIONALIZACION%20PCD.pdf</w:t>
        </w:r>
      </w:hyperlink>
      <w:r w:rsidRPr="00B446F1">
        <w:rPr>
          <w:rFonts w:cs="Arial"/>
          <w:sz w:val="20"/>
          <w:lang w:val="es-ES"/>
        </w:rPr>
        <w:t>.</w:t>
      </w:r>
      <w:r w:rsidRPr="00B446F1">
        <w:rPr>
          <w:rFonts w:cs="Arial"/>
          <w:sz w:val="20"/>
          <w:lang w:val="en-US"/>
        </w:rPr>
        <w:t xml:space="preserve"> </w:t>
      </w:r>
    </w:p>
  </w:footnote>
  <w:footnote w:id="5">
    <w:p w14:paraId="6ECA4E0B" w14:textId="174D1797" w:rsidR="008B6471" w:rsidRPr="00B446F1" w:rsidRDefault="008B6471" w:rsidP="00A22C73">
      <w:pPr>
        <w:ind w:left="284" w:hanging="284"/>
        <w:jc w:val="left"/>
        <w:rPr>
          <w:rFonts w:cs="Arial"/>
          <w:sz w:val="20"/>
          <w:lang w:val="es-ES"/>
        </w:rPr>
      </w:pPr>
      <w:r w:rsidRPr="00B446F1">
        <w:rPr>
          <w:rStyle w:val="FootnoteReference"/>
          <w:rFonts w:cs="Arial"/>
        </w:rPr>
        <w:footnoteRef/>
      </w:r>
      <w:r w:rsidRPr="00B446F1">
        <w:rPr>
          <w:rFonts w:cs="Arial"/>
          <w:sz w:val="20"/>
          <w:lang w:val="es-ES"/>
        </w:rPr>
        <w:t xml:space="preserve"> </w:t>
      </w:r>
      <w:r>
        <w:rPr>
          <w:rFonts w:cs="Arial"/>
          <w:sz w:val="20"/>
          <w:lang w:val="es-ES"/>
        </w:rPr>
        <w:tab/>
      </w:r>
      <w:r w:rsidRPr="00B446F1">
        <w:rPr>
          <w:rFonts w:cs="Arial"/>
          <w:sz w:val="20"/>
          <w:lang w:val="es-ES"/>
        </w:rPr>
        <w:t>Verdugo, M.A., Navas, P., Martínez, S., &amp; Sainz, F. (2016).</w:t>
      </w:r>
      <w:r>
        <w:rPr>
          <w:rFonts w:cs="Arial"/>
          <w:sz w:val="20"/>
          <w:lang w:val="es-ES"/>
        </w:rPr>
        <w:t xml:space="preserve"> </w:t>
      </w:r>
      <w:r w:rsidRPr="00B446F1">
        <w:rPr>
          <w:rFonts w:cs="Arial"/>
          <w:sz w:val="20"/>
          <w:lang w:val="es-ES"/>
        </w:rPr>
        <w:t xml:space="preserve">Todos somos todos. Derechos y calidad de vida de las personas con discapacidad intelectual y mayores necesidades de apoyo. Informe Ejecutivo. </w:t>
      </w:r>
      <w:proofErr w:type="spellStart"/>
      <w:r w:rsidRPr="00B446F1">
        <w:rPr>
          <w:rFonts w:cs="Arial"/>
          <w:sz w:val="20"/>
          <w:lang w:val="es-ES"/>
        </w:rPr>
        <w:t>Available</w:t>
      </w:r>
      <w:proofErr w:type="spellEnd"/>
      <w:r w:rsidRPr="00B446F1">
        <w:rPr>
          <w:rFonts w:cs="Arial"/>
          <w:sz w:val="20"/>
          <w:lang w:val="es-ES"/>
        </w:rPr>
        <w:t xml:space="preserve"> at: </w:t>
      </w:r>
      <w:hyperlink r:id="rId5" w:history="1">
        <w:r w:rsidRPr="00B446F1">
          <w:rPr>
            <w:rStyle w:val="Hyperlink"/>
            <w:rFonts w:cs="Arial"/>
            <w:sz w:val="20"/>
            <w:lang w:val="es-ES"/>
          </w:rPr>
          <w:t>http://www.plenainclusion.org/sites/default/files/30-11-16-todossomostodos-informeejecutivo.pdf</w:t>
        </w:r>
      </w:hyperlink>
      <w:r w:rsidRPr="00B446F1">
        <w:rPr>
          <w:rFonts w:cs="Arial"/>
          <w:sz w:val="20"/>
          <w:lang w:val="es-ES"/>
        </w:rPr>
        <w:t xml:space="preserve">. </w:t>
      </w:r>
    </w:p>
  </w:footnote>
  <w:footnote w:id="6">
    <w:p w14:paraId="627C9449" w14:textId="038EB5C7" w:rsidR="008B6471" w:rsidRPr="00B446F1" w:rsidRDefault="008B6471" w:rsidP="00A22C73">
      <w:pPr>
        <w:ind w:left="284" w:hanging="284"/>
        <w:jc w:val="left"/>
        <w:rPr>
          <w:rFonts w:cs="Arial"/>
          <w:sz w:val="20"/>
          <w:lang w:val="en-US"/>
        </w:rPr>
      </w:pPr>
      <w:r w:rsidRPr="00B446F1">
        <w:rPr>
          <w:rStyle w:val="FootnoteReference"/>
          <w:rFonts w:cs="Arial"/>
        </w:rPr>
        <w:footnoteRef/>
      </w:r>
      <w:r w:rsidRPr="00B446F1">
        <w:rPr>
          <w:rFonts w:cs="Arial"/>
          <w:sz w:val="20"/>
          <w:lang w:val="es-ES"/>
        </w:rPr>
        <w:t xml:space="preserve"> </w:t>
      </w:r>
      <w:r>
        <w:rPr>
          <w:rFonts w:cs="Arial"/>
          <w:sz w:val="20"/>
          <w:lang w:val="es-ES"/>
        </w:rPr>
        <w:tab/>
      </w:r>
      <w:r w:rsidRPr="00B446F1">
        <w:rPr>
          <w:rFonts w:cs="Arial"/>
          <w:sz w:val="20"/>
          <w:lang w:val="es-ES"/>
        </w:rPr>
        <w:t xml:space="preserve">Alonso Parreño, M. A. (2015). El derecho a la vida independiente y su realización en España: ¿Un horizonte lejano para las personas con </w:t>
      </w:r>
      <w:proofErr w:type="gramStart"/>
      <w:r w:rsidRPr="00B446F1">
        <w:rPr>
          <w:rFonts w:cs="Arial"/>
          <w:sz w:val="20"/>
          <w:lang w:val="es-ES"/>
        </w:rPr>
        <w:t>discapacidad?.</w:t>
      </w:r>
      <w:proofErr w:type="gramEnd"/>
      <w:r w:rsidRPr="00B446F1">
        <w:rPr>
          <w:rFonts w:cs="Arial"/>
          <w:sz w:val="20"/>
          <w:lang w:val="es-ES"/>
        </w:rPr>
        <w:t xml:space="preserve"> </w:t>
      </w:r>
      <w:r w:rsidRPr="00B446F1">
        <w:rPr>
          <w:rFonts w:cs="Arial"/>
          <w:sz w:val="20"/>
        </w:rPr>
        <w:t xml:space="preserve">Available at: </w:t>
      </w:r>
      <w:hyperlink r:id="rId6" w:history="1">
        <w:r w:rsidRPr="00B446F1">
          <w:rPr>
            <w:rStyle w:val="Hyperlink"/>
            <w:rFonts w:cs="Arial"/>
            <w:sz w:val="20"/>
            <w:lang w:val="en-US"/>
          </w:rPr>
          <w:t>http://semanal.cermi.es/noticia/opinion-derecho-vida-independiente-horizonte-lejano-maria-jose-alonso-parreno.aspx</w:t>
        </w:r>
      </w:hyperlink>
      <w:r w:rsidRPr="00B446F1">
        <w:rPr>
          <w:rFonts w:cs="Arial"/>
          <w:sz w:val="20"/>
          <w:lang w:val="es-ES"/>
        </w:rPr>
        <w:t>.</w:t>
      </w:r>
      <w:r w:rsidRPr="00B446F1">
        <w:rPr>
          <w:rStyle w:val="Hyperlink"/>
          <w:rFonts w:cs="Arial"/>
          <w:sz w:val="20"/>
          <w:lang w:val="en-US"/>
        </w:rPr>
        <w:t xml:space="preserve"> </w:t>
      </w:r>
    </w:p>
  </w:footnote>
  <w:footnote w:id="7">
    <w:p w14:paraId="3908C149" w14:textId="4D82D588" w:rsidR="008B6471" w:rsidRPr="00B446F1" w:rsidRDefault="008B6471" w:rsidP="00A22C73">
      <w:pPr>
        <w:pStyle w:val="FootnoteText"/>
        <w:ind w:left="284" w:hanging="284"/>
        <w:jc w:val="left"/>
        <w:rPr>
          <w:rFonts w:cs="Arial"/>
          <w:lang w:val="fr-FR"/>
        </w:rPr>
      </w:pPr>
      <w:r w:rsidRPr="00B446F1">
        <w:rPr>
          <w:rStyle w:val="FootnoteReference"/>
          <w:rFonts w:cs="Arial"/>
        </w:rPr>
        <w:footnoteRef/>
      </w:r>
      <w:r w:rsidRPr="00B446F1">
        <w:rPr>
          <w:rFonts w:cs="Arial"/>
          <w:lang w:val="fr-FR"/>
        </w:rPr>
        <w:t xml:space="preserve"> </w:t>
      </w:r>
      <w:r>
        <w:rPr>
          <w:rFonts w:cs="Arial"/>
          <w:lang w:val="fr-FR"/>
        </w:rPr>
        <w:tab/>
      </w:r>
      <w:r w:rsidRPr="00B446F1">
        <w:rPr>
          <w:rFonts w:cs="Arial"/>
          <w:lang w:val="fr-FR"/>
        </w:rPr>
        <w:t xml:space="preserve">Instituto de </w:t>
      </w:r>
      <w:proofErr w:type="spellStart"/>
      <w:r w:rsidRPr="00B446F1">
        <w:rPr>
          <w:rFonts w:cs="Arial"/>
          <w:lang w:val="fr-FR"/>
        </w:rPr>
        <w:t>Mayores</w:t>
      </w:r>
      <w:proofErr w:type="spellEnd"/>
      <w:r w:rsidRPr="00B446F1">
        <w:rPr>
          <w:rFonts w:cs="Arial"/>
          <w:lang w:val="fr-FR"/>
        </w:rPr>
        <w:t xml:space="preserve"> y </w:t>
      </w:r>
      <w:proofErr w:type="spellStart"/>
      <w:r w:rsidRPr="00B446F1">
        <w:rPr>
          <w:rFonts w:cs="Arial"/>
          <w:lang w:val="fr-FR"/>
        </w:rPr>
        <w:t>Servicios</w:t>
      </w:r>
      <w:proofErr w:type="spellEnd"/>
      <w:r w:rsidRPr="00B446F1">
        <w:rPr>
          <w:rFonts w:cs="Arial"/>
          <w:lang w:val="fr-FR"/>
        </w:rPr>
        <w:t xml:space="preserve"> Sociales (</w:t>
      </w:r>
      <w:proofErr w:type="spellStart"/>
      <w:r w:rsidRPr="00B446F1">
        <w:rPr>
          <w:rFonts w:cs="Arial"/>
          <w:lang w:val="fr-FR"/>
        </w:rPr>
        <w:t>Imerso</w:t>
      </w:r>
      <w:proofErr w:type="spellEnd"/>
      <w:r w:rsidRPr="00B446F1">
        <w:rPr>
          <w:rFonts w:cs="Arial"/>
          <w:lang w:val="fr-FR"/>
        </w:rPr>
        <w:t xml:space="preserve">), </w:t>
      </w:r>
      <w:proofErr w:type="spellStart"/>
      <w:r w:rsidRPr="00B446F1">
        <w:rPr>
          <w:rFonts w:cs="Arial"/>
          <w:lang w:val="fr-FR"/>
        </w:rPr>
        <w:t>Información</w:t>
      </w:r>
      <w:proofErr w:type="spellEnd"/>
      <w:r w:rsidRPr="00B446F1">
        <w:rPr>
          <w:rFonts w:cs="Arial"/>
          <w:lang w:val="fr-FR"/>
        </w:rPr>
        <w:t xml:space="preserve"> </w:t>
      </w:r>
      <w:proofErr w:type="spellStart"/>
      <w:r w:rsidRPr="00B446F1">
        <w:rPr>
          <w:rFonts w:cs="Arial"/>
          <w:lang w:val="fr-FR"/>
        </w:rPr>
        <w:t>Estadística</w:t>
      </w:r>
      <w:proofErr w:type="spellEnd"/>
      <w:r w:rsidRPr="00B446F1">
        <w:rPr>
          <w:rFonts w:cs="Arial"/>
          <w:lang w:val="fr-FR"/>
        </w:rPr>
        <w:t xml:space="preserve"> </w:t>
      </w:r>
      <w:proofErr w:type="spellStart"/>
      <w:r w:rsidRPr="00B446F1">
        <w:rPr>
          <w:rFonts w:cs="Arial"/>
          <w:lang w:val="fr-FR"/>
        </w:rPr>
        <w:t>del</w:t>
      </w:r>
      <w:proofErr w:type="spellEnd"/>
      <w:r w:rsidRPr="00B446F1">
        <w:rPr>
          <w:rFonts w:cs="Arial"/>
          <w:lang w:val="fr-FR"/>
        </w:rPr>
        <w:t xml:space="preserve"> </w:t>
      </w:r>
      <w:proofErr w:type="spellStart"/>
      <w:r w:rsidRPr="00B446F1">
        <w:rPr>
          <w:rFonts w:cs="Arial"/>
          <w:lang w:val="fr-FR"/>
        </w:rPr>
        <w:t>Sistema</w:t>
      </w:r>
      <w:proofErr w:type="spellEnd"/>
      <w:r w:rsidRPr="00B446F1">
        <w:rPr>
          <w:rFonts w:cs="Arial"/>
          <w:lang w:val="fr-FR"/>
        </w:rPr>
        <w:t xml:space="preserve"> para la </w:t>
      </w:r>
      <w:proofErr w:type="spellStart"/>
      <w:r w:rsidRPr="00B446F1">
        <w:rPr>
          <w:rFonts w:cs="Arial"/>
          <w:lang w:val="fr-FR"/>
        </w:rPr>
        <w:t>Autonomía</w:t>
      </w:r>
      <w:proofErr w:type="spellEnd"/>
      <w:r w:rsidRPr="00B446F1">
        <w:rPr>
          <w:rFonts w:cs="Arial"/>
          <w:lang w:val="fr-FR"/>
        </w:rPr>
        <w:t xml:space="preserve"> y </w:t>
      </w:r>
      <w:proofErr w:type="spellStart"/>
      <w:r w:rsidRPr="00B446F1">
        <w:rPr>
          <w:rFonts w:cs="Arial"/>
          <w:lang w:val="fr-FR"/>
        </w:rPr>
        <w:t>Atención</w:t>
      </w:r>
      <w:proofErr w:type="spellEnd"/>
      <w:r w:rsidRPr="00B446F1">
        <w:rPr>
          <w:rFonts w:cs="Arial"/>
          <w:lang w:val="fr-FR"/>
        </w:rPr>
        <w:t xml:space="preserve"> a la </w:t>
      </w:r>
      <w:proofErr w:type="spellStart"/>
      <w:r w:rsidRPr="00B446F1">
        <w:rPr>
          <w:rFonts w:cs="Arial"/>
          <w:lang w:val="fr-FR"/>
        </w:rPr>
        <w:t>Dependencia</w:t>
      </w:r>
      <w:proofErr w:type="spellEnd"/>
      <w:r w:rsidRPr="00B446F1">
        <w:rPr>
          <w:rFonts w:cs="Arial"/>
          <w:lang w:val="fr-FR"/>
        </w:rPr>
        <w:t xml:space="preserve">, </w:t>
      </w:r>
      <w:proofErr w:type="spellStart"/>
      <w:r w:rsidRPr="00B446F1">
        <w:rPr>
          <w:rFonts w:cs="Arial"/>
          <w:lang w:val="fr-FR"/>
        </w:rPr>
        <w:t>Situación</w:t>
      </w:r>
      <w:proofErr w:type="spellEnd"/>
      <w:r w:rsidRPr="00B446F1">
        <w:rPr>
          <w:rFonts w:cs="Arial"/>
          <w:lang w:val="fr-FR"/>
        </w:rPr>
        <w:t xml:space="preserve"> a 31 de </w:t>
      </w:r>
      <w:proofErr w:type="spellStart"/>
      <w:r w:rsidRPr="00B446F1">
        <w:rPr>
          <w:rFonts w:cs="Arial"/>
          <w:lang w:val="fr-FR"/>
        </w:rPr>
        <w:t>enero</w:t>
      </w:r>
      <w:proofErr w:type="spellEnd"/>
      <w:r w:rsidRPr="00B446F1">
        <w:rPr>
          <w:rFonts w:cs="Arial"/>
          <w:lang w:val="fr-FR"/>
        </w:rPr>
        <w:t xml:space="preserve"> de 2019, </w:t>
      </w:r>
      <w:hyperlink r:id="rId7" w:history="1">
        <w:r w:rsidRPr="00B446F1">
          <w:rPr>
            <w:rStyle w:val="Hyperlink"/>
            <w:rFonts w:cs="Arial"/>
            <w:lang w:val="fr-FR"/>
          </w:rPr>
          <w:t>http://www.imserso.es/InterPresent1/groups/imserso/documents/binario/estsisaad20190131.pdf</w:t>
        </w:r>
      </w:hyperlink>
      <w:r w:rsidRPr="00B446F1">
        <w:rPr>
          <w:rFonts w:cs="Arial"/>
          <w:lang w:val="es-ES"/>
        </w:rPr>
        <w:t>.</w:t>
      </w:r>
      <w:r w:rsidRPr="00B446F1">
        <w:rPr>
          <w:rFonts w:cs="Arial"/>
          <w:lang w:val="fr-FR"/>
        </w:rPr>
        <w:t xml:space="preserve"> </w:t>
      </w:r>
    </w:p>
  </w:footnote>
  <w:footnote w:id="8">
    <w:p w14:paraId="60DD6014" w14:textId="2F468E16" w:rsidR="008B6471" w:rsidRPr="00B446F1" w:rsidRDefault="008B6471" w:rsidP="00A22C73">
      <w:pPr>
        <w:pStyle w:val="FootnoteText"/>
        <w:ind w:left="284" w:hanging="284"/>
        <w:jc w:val="left"/>
        <w:rPr>
          <w:rFonts w:cs="Arial"/>
          <w:lang w:val="fr-FR"/>
        </w:rPr>
      </w:pPr>
      <w:r w:rsidRPr="00B446F1">
        <w:rPr>
          <w:rStyle w:val="FootnoteReference"/>
          <w:rFonts w:cs="Arial"/>
        </w:rPr>
        <w:footnoteRef/>
      </w:r>
      <w:r w:rsidRPr="00B446F1">
        <w:rPr>
          <w:rFonts w:cs="Arial"/>
          <w:lang w:val="fr-FR"/>
        </w:rPr>
        <w:t xml:space="preserve"> </w:t>
      </w:r>
      <w:r>
        <w:rPr>
          <w:rFonts w:cs="Arial"/>
          <w:lang w:val="fr-FR"/>
        </w:rPr>
        <w:tab/>
      </w:r>
      <w:r w:rsidRPr="00B446F1">
        <w:rPr>
          <w:rFonts w:cs="Arial"/>
          <w:lang w:val="fr-FR"/>
        </w:rPr>
        <w:t xml:space="preserve">Instituto de </w:t>
      </w:r>
      <w:proofErr w:type="spellStart"/>
      <w:r w:rsidRPr="00B446F1">
        <w:rPr>
          <w:rFonts w:cs="Arial"/>
          <w:lang w:val="fr-FR"/>
        </w:rPr>
        <w:t>Mayores</w:t>
      </w:r>
      <w:proofErr w:type="spellEnd"/>
      <w:r w:rsidRPr="00B446F1">
        <w:rPr>
          <w:rFonts w:cs="Arial"/>
          <w:lang w:val="fr-FR"/>
        </w:rPr>
        <w:t xml:space="preserve"> y </w:t>
      </w:r>
      <w:proofErr w:type="spellStart"/>
      <w:r w:rsidRPr="00B446F1">
        <w:rPr>
          <w:rFonts w:cs="Arial"/>
          <w:lang w:val="fr-FR"/>
        </w:rPr>
        <w:t>Servicios</w:t>
      </w:r>
      <w:proofErr w:type="spellEnd"/>
      <w:r w:rsidRPr="00B446F1">
        <w:rPr>
          <w:rFonts w:cs="Arial"/>
          <w:lang w:val="fr-FR"/>
        </w:rPr>
        <w:t xml:space="preserve"> Sociales (</w:t>
      </w:r>
      <w:proofErr w:type="spellStart"/>
      <w:r w:rsidRPr="00B446F1">
        <w:rPr>
          <w:rFonts w:cs="Arial"/>
          <w:lang w:val="fr-FR"/>
        </w:rPr>
        <w:t>Imerso</w:t>
      </w:r>
      <w:proofErr w:type="spellEnd"/>
      <w:r w:rsidRPr="00B446F1">
        <w:rPr>
          <w:rFonts w:cs="Arial"/>
          <w:lang w:val="fr-FR"/>
        </w:rPr>
        <w:t xml:space="preserve">), </w:t>
      </w:r>
      <w:proofErr w:type="spellStart"/>
      <w:r w:rsidRPr="00B446F1">
        <w:rPr>
          <w:rFonts w:cs="Arial"/>
          <w:lang w:val="fr-FR"/>
        </w:rPr>
        <w:t>Información</w:t>
      </w:r>
      <w:proofErr w:type="spellEnd"/>
      <w:r w:rsidRPr="00B446F1">
        <w:rPr>
          <w:rFonts w:cs="Arial"/>
          <w:lang w:val="fr-FR"/>
        </w:rPr>
        <w:t xml:space="preserve"> </w:t>
      </w:r>
      <w:proofErr w:type="spellStart"/>
      <w:r w:rsidRPr="00B446F1">
        <w:rPr>
          <w:rFonts w:cs="Arial"/>
          <w:lang w:val="fr-FR"/>
        </w:rPr>
        <w:t>Estadística</w:t>
      </w:r>
      <w:proofErr w:type="spellEnd"/>
      <w:r w:rsidRPr="00B446F1">
        <w:rPr>
          <w:rFonts w:cs="Arial"/>
          <w:lang w:val="fr-FR"/>
        </w:rPr>
        <w:t xml:space="preserve"> </w:t>
      </w:r>
      <w:proofErr w:type="spellStart"/>
      <w:r w:rsidRPr="00B446F1">
        <w:rPr>
          <w:rFonts w:cs="Arial"/>
          <w:lang w:val="fr-FR"/>
        </w:rPr>
        <w:t>del</w:t>
      </w:r>
      <w:proofErr w:type="spellEnd"/>
      <w:r w:rsidRPr="00B446F1">
        <w:rPr>
          <w:rFonts w:cs="Arial"/>
          <w:lang w:val="fr-FR"/>
        </w:rPr>
        <w:t xml:space="preserve"> </w:t>
      </w:r>
      <w:proofErr w:type="spellStart"/>
      <w:r w:rsidRPr="00B446F1">
        <w:rPr>
          <w:rFonts w:cs="Arial"/>
          <w:lang w:val="fr-FR"/>
        </w:rPr>
        <w:t>Sistema</w:t>
      </w:r>
      <w:proofErr w:type="spellEnd"/>
      <w:r w:rsidRPr="00B446F1">
        <w:rPr>
          <w:rFonts w:cs="Arial"/>
          <w:lang w:val="fr-FR"/>
        </w:rPr>
        <w:t xml:space="preserve"> para la </w:t>
      </w:r>
      <w:proofErr w:type="spellStart"/>
      <w:r w:rsidRPr="00B446F1">
        <w:rPr>
          <w:rFonts w:cs="Arial"/>
          <w:lang w:val="fr-FR"/>
        </w:rPr>
        <w:t>Autonomía</w:t>
      </w:r>
      <w:proofErr w:type="spellEnd"/>
      <w:r w:rsidRPr="00B446F1">
        <w:rPr>
          <w:rFonts w:cs="Arial"/>
          <w:lang w:val="fr-FR"/>
        </w:rPr>
        <w:t xml:space="preserve"> y </w:t>
      </w:r>
      <w:proofErr w:type="spellStart"/>
      <w:r w:rsidRPr="00B446F1">
        <w:rPr>
          <w:rFonts w:cs="Arial"/>
          <w:lang w:val="fr-FR"/>
        </w:rPr>
        <w:t>Atención</w:t>
      </w:r>
      <w:proofErr w:type="spellEnd"/>
      <w:r w:rsidRPr="00B446F1">
        <w:rPr>
          <w:rFonts w:cs="Arial"/>
          <w:lang w:val="fr-FR"/>
        </w:rPr>
        <w:t xml:space="preserve"> a la </w:t>
      </w:r>
      <w:proofErr w:type="spellStart"/>
      <w:r w:rsidRPr="00B446F1">
        <w:rPr>
          <w:rFonts w:cs="Arial"/>
          <w:lang w:val="fr-FR"/>
        </w:rPr>
        <w:t>Dependencia</w:t>
      </w:r>
      <w:proofErr w:type="spellEnd"/>
      <w:r w:rsidRPr="00B446F1">
        <w:rPr>
          <w:rFonts w:cs="Arial"/>
          <w:lang w:val="fr-FR"/>
        </w:rPr>
        <w:t xml:space="preserve">, </w:t>
      </w:r>
      <w:proofErr w:type="spellStart"/>
      <w:r w:rsidRPr="00B446F1">
        <w:rPr>
          <w:rFonts w:cs="Arial"/>
          <w:lang w:val="fr-FR"/>
        </w:rPr>
        <w:t>Situación</w:t>
      </w:r>
      <w:proofErr w:type="spellEnd"/>
      <w:r w:rsidRPr="00B446F1">
        <w:rPr>
          <w:rFonts w:cs="Arial"/>
          <w:lang w:val="fr-FR"/>
        </w:rPr>
        <w:t xml:space="preserve"> a 1 de </w:t>
      </w:r>
      <w:proofErr w:type="spellStart"/>
      <w:r w:rsidRPr="00B446F1">
        <w:rPr>
          <w:rFonts w:cs="Arial"/>
          <w:lang w:val="fr-FR"/>
        </w:rPr>
        <w:t>diciembre</w:t>
      </w:r>
      <w:proofErr w:type="spellEnd"/>
      <w:r w:rsidRPr="00B446F1">
        <w:rPr>
          <w:rFonts w:cs="Arial"/>
          <w:lang w:val="fr-FR"/>
        </w:rPr>
        <w:t xml:space="preserve"> de 2010, </w:t>
      </w:r>
      <w:hyperlink r:id="rId8" w:history="1">
        <w:r w:rsidRPr="00B446F1">
          <w:rPr>
            <w:rStyle w:val="Hyperlink"/>
            <w:rFonts w:cs="Arial"/>
            <w:lang w:val="fr-FR"/>
          </w:rPr>
          <w:t>http://www.imserso.es/InterPresent2/groups/imserso/documents/binario/estsisaad20101201.pdf</w:t>
        </w:r>
      </w:hyperlink>
      <w:r w:rsidRPr="00B446F1">
        <w:rPr>
          <w:rFonts w:cs="Arial"/>
          <w:lang w:val="es-ES"/>
        </w:rPr>
        <w:t>.</w:t>
      </w:r>
      <w:r w:rsidRPr="00B446F1">
        <w:rPr>
          <w:rFonts w:cs="Arial"/>
          <w:lang w:val="fr-FR"/>
        </w:rPr>
        <w:t xml:space="preserve"> </w:t>
      </w:r>
    </w:p>
  </w:footnote>
  <w:footnote w:id="9">
    <w:p w14:paraId="3D95886A" w14:textId="40C5A700" w:rsidR="008B6471" w:rsidRPr="00B446F1" w:rsidRDefault="008B6471" w:rsidP="00A22C73">
      <w:pPr>
        <w:pStyle w:val="FootnoteText"/>
        <w:ind w:left="284" w:hanging="284"/>
        <w:jc w:val="left"/>
        <w:rPr>
          <w:rFonts w:cs="Arial"/>
          <w:lang w:val="fr-FR"/>
        </w:rPr>
      </w:pPr>
      <w:r w:rsidRPr="00B446F1">
        <w:rPr>
          <w:rStyle w:val="FootnoteReference"/>
          <w:rFonts w:cs="Arial"/>
        </w:rPr>
        <w:footnoteRef/>
      </w:r>
      <w:r w:rsidRPr="00B446F1">
        <w:rPr>
          <w:rFonts w:cs="Arial"/>
          <w:lang w:val="fr-FR"/>
        </w:rPr>
        <w:t xml:space="preserve"> </w:t>
      </w:r>
      <w:r>
        <w:rPr>
          <w:rFonts w:cs="Arial"/>
          <w:lang w:val="fr-FR"/>
        </w:rPr>
        <w:tab/>
      </w:r>
      <w:r w:rsidRPr="00B446F1">
        <w:rPr>
          <w:rFonts w:cs="Arial"/>
          <w:lang w:val="fr-FR"/>
        </w:rPr>
        <w:t xml:space="preserve">Instituto de </w:t>
      </w:r>
      <w:proofErr w:type="spellStart"/>
      <w:r w:rsidRPr="00B446F1">
        <w:rPr>
          <w:rFonts w:cs="Arial"/>
          <w:lang w:val="fr-FR"/>
        </w:rPr>
        <w:t>Mayores</w:t>
      </w:r>
      <w:proofErr w:type="spellEnd"/>
      <w:r w:rsidRPr="00B446F1">
        <w:rPr>
          <w:rFonts w:cs="Arial"/>
          <w:lang w:val="fr-FR"/>
        </w:rPr>
        <w:t xml:space="preserve"> y </w:t>
      </w:r>
      <w:proofErr w:type="spellStart"/>
      <w:r w:rsidRPr="00B446F1">
        <w:rPr>
          <w:rFonts w:cs="Arial"/>
          <w:lang w:val="fr-FR"/>
        </w:rPr>
        <w:t>Servicios</w:t>
      </w:r>
      <w:proofErr w:type="spellEnd"/>
      <w:r w:rsidRPr="00B446F1">
        <w:rPr>
          <w:rFonts w:cs="Arial"/>
          <w:lang w:val="fr-FR"/>
        </w:rPr>
        <w:t xml:space="preserve"> Sociales (</w:t>
      </w:r>
      <w:proofErr w:type="spellStart"/>
      <w:r w:rsidRPr="00B446F1">
        <w:rPr>
          <w:rFonts w:cs="Arial"/>
          <w:lang w:val="fr-FR"/>
        </w:rPr>
        <w:t>Imerso</w:t>
      </w:r>
      <w:proofErr w:type="spellEnd"/>
      <w:r w:rsidRPr="00B446F1">
        <w:rPr>
          <w:rFonts w:cs="Arial"/>
          <w:lang w:val="fr-FR"/>
        </w:rPr>
        <w:t xml:space="preserve">), </w:t>
      </w:r>
      <w:proofErr w:type="spellStart"/>
      <w:r w:rsidRPr="00B446F1">
        <w:rPr>
          <w:rFonts w:cs="Arial"/>
          <w:lang w:val="fr-FR"/>
        </w:rPr>
        <w:t>Información</w:t>
      </w:r>
      <w:proofErr w:type="spellEnd"/>
      <w:r w:rsidRPr="00B446F1">
        <w:rPr>
          <w:rFonts w:cs="Arial"/>
          <w:lang w:val="fr-FR"/>
        </w:rPr>
        <w:t xml:space="preserve"> </w:t>
      </w:r>
      <w:proofErr w:type="spellStart"/>
      <w:r w:rsidRPr="00B446F1">
        <w:rPr>
          <w:rFonts w:cs="Arial"/>
          <w:lang w:val="fr-FR"/>
        </w:rPr>
        <w:t>Estadística</w:t>
      </w:r>
      <w:proofErr w:type="spellEnd"/>
      <w:r w:rsidRPr="00B446F1">
        <w:rPr>
          <w:rFonts w:cs="Arial"/>
          <w:lang w:val="fr-FR"/>
        </w:rPr>
        <w:t xml:space="preserve"> </w:t>
      </w:r>
      <w:proofErr w:type="spellStart"/>
      <w:r w:rsidRPr="00B446F1">
        <w:rPr>
          <w:rFonts w:cs="Arial"/>
          <w:lang w:val="fr-FR"/>
        </w:rPr>
        <w:t>del</w:t>
      </w:r>
      <w:proofErr w:type="spellEnd"/>
      <w:r w:rsidRPr="00B446F1">
        <w:rPr>
          <w:rFonts w:cs="Arial"/>
          <w:lang w:val="fr-FR"/>
        </w:rPr>
        <w:t xml:space="preserve"> </w:t>
      </w:r>
      <w:proofErr w:type="spellStart"/>
      <w:r w:rsidRPr="00B446F1">
        <w:rPr>
          <w:rFonts w:cs="Arial"/>
          <w:lang w:val="fr-FR"/>
        </w:rPr>
        <w:t>Sistema</w:t>
      </w:r>
      <w:proofErr w:type="spellEnd"/>
      <w:r w:rsidRPr="00B446F1">
        <w:rPr>
          <w:rFonts w:cs="Arial"/>
          <w:lang w:val="fr-FR"/>
        </w:rPr>
        <w:t xml:space="preserve"> para la </w:t>
      </w:r>
      <w:proofErr w:type="spellStart"/>
      <w:r w:rsidRPr="00B446F1">
        <w:rPr>
          <w:rFonts w:cs="Arial"/>
          <w:lang w:val="fr-FR"/>
        </w:rPr>
        <w:t>Autonomía</w:t>
      </w:r>
      <w:proofErr w:type="spellEnd"/>
      <w:r w:rsidRPr="00B446F1">
        <w:rPr>
          <w:rFonts w:cs="Arial"/>
          <w:lang w:val="fr-FR"/>
        </w:rPr>
        <w:t xml:space="preserve"> y </w:t>
      </w:r>
      <w:proofErr w:type="spellStart"/>
      <w:r w:rsidRPr="00B446F1">
        <w:rPr>
          <w:rFonts w:cs="Arial"/>
          <w:lang w:val="fr-FR"/>
        </w:rPr>
        <w:t>Atención</w:t>
      </w:r>
      <w:proofErr w:type="spellEnd"/>
      <w:r w:rsidRPr="00B446F1">
        <w:rPr>
          <w:rFonts w:cs="Arial"/>
          <w:lang w:val="fr-FR"/>
        </w:rPr>
        <w:t xml:space="preserve"> a la </w:t>
      </w:r>
      <w:proofErr w:type="spellStart"/>
      <w:r w:rsidRPr="00B446F1">
        <w:rPr>
          <w:rFonts w:cs="Arial"/>
          <w:lang w:val="fr-FR"/>
        </w:rPr>
        <w:t>Dependencia</w:t>
      </w:r>
      <w:proofErr w:type="spellEnd"/>
      <w:r w:rsidRPr="00B446F1">
        <w:rPr>
          <w:rFonts w:cs="Arial"/>
          <w:lang w:val="fr-FR"/>
        </w:rPr>
        <w:t xml:space="preserve">, </w:t>
      </w:r>
      <w:proofErr w:type="spellStart"/>
      <w:r w:rsidRPr="00B446F1">
        <w:rPr>
          <w:rFonts w:cs="Arial"/>
          <w:lang w:val="fr-FR"/>
        </w:rPr>
        <w:t>Situación</w:t>
      </w:r>
      <w:proofErr w:type="spellEnd"/>
      <w:r w:rsidRPr="00B446F1">
        <w:rPr>
          <w:rFonts w:cs="Arial"/>
          <w:lang w:val="fr-FR"/>
        </w:rPr>
        <w:t xml:space="preserve"> a 1 de </w:t>
      </w:r>
      <w:proofErr w:type="spellStart"/>
      <w:r w:rsidRPr="00B446F1">
        <w:rPr>
          <w:rFonts w:cs="Arial"/>
          <w:lang w:val="fr-FR"/>
        </w:rPr>
        <w:t>diciembre</w:t>
      </w:r>
      <w:proofErr w:type="spellEnd"/>
      <w:r w:rsidRPr="00B446F1">
        <w:rPr>
          <w:rFonts w:cs="Arial"/>
          <w:lang w:val="fr-FR"/>
        </w:rPr>
        <w:t xml:space="preserve"> de 2011 : </w:t>
      </w:r>
      <w:hyperlink r:id="rId9" w:history="1">
        <w:r w:rsidRPr="00B446F1">
          <w:rPr>
            <w:rStyle w:val="Hyperlink"/>
            <w:rFonts w:cs="Arial"/>
            <w:lang w:val="fr-FR"/>
          </w:rPr>
          <w:t>http://www.imserso.es/InterPresent2/groups/imserso/documents/binario/estsisaad20111201.pdf</w:t>
        </w:r>
      </w:hyperlink>
      <w:r w:rsidRPr="00B446F1">
        <w:rPr>
          <w:rFonts w:cs="Arial"/>
          <w:lang w:val="es-ES"/>
        </w:rPr>
        <w:t>.</w:t>
      </w:r>
      <w:r w:rsidRPr="00B446F1">
        <w:rPr>
          <w:rFonts w:cs="Arial"/>
          <w:lang w:val="fr-FR"/>
        </w:rPr>
        <w:t xml:space="preserve"> </w:t>
      </w:r>
    </w:p>
  </w:footnote>
  <w:footnote w:id="10">
    <w:p w14:paraId="6464000F" w14:textId="79A49000" w:rsidR="008B6471" w:rsidRPr="00B446F1" w:rsidRDefault="008B6471" w:rsidP="00A22C73">
      <w:pPr>
        <w:pStyle w:val="FootnoteText"/>
        <w:ind w:left="284" w:hanging="284"/>
        <w:jc w:val="left"/>
        <w:rPr>
          <w:rFonts w:cs="Arial"/>
          <w:lang w:val="fr-FR"/>
        </w:rPr>
      </w:pPr>
      <w:r w:rsidRPr="00B446F1">
        <w:rPr>
          <w:rStyle w:val="FootnoteReference"/>
          <w:rFonts w:cs="Arial"/>
        </w:rPr>
        <w:footnoteRef/>
      </w:r>
      <w:r w:rsidRPr="00B446F1">
        <w:rPr>
          <w:rFonts w:cs="Arial"/>
          <w:lang w:val="fr-FR"/>
        </w:rPr>
        <w:t xml:space="preserve"> </w:t>
      </w:r>
      <w:r>
        <w:rPr>
          <w:rFonts w:cs="Arial"/>
          <w:lang w:val="fr-FR"/>
        </w:rPr>
        <w:tab/>
      </w:r>
      <w:r w:rsidRPr="00B446F1">
        <w:rPr>
          <w:rFonts w:cs="Arial"/>
          <w:lang w:val="fr-FR"/>
        </w:rPr>
        <w:t xml:space="preserve">Instituto de </w:t>
      </w:r>
      <w:proofErr w:type="spellStart"/>
      <w:r w:rsidRPr="00B446F1">
        <w:rPr>
          <w:rFonts w:cs="Arial"/>
          <w:lang w:val="fr-FR"/>
        </w:rPr>
        <w:t>Mayores</w:t>
      </w:r>
      <w:proofErr w:type="spellEnd"/>
      <w:r w:rsidRPr="00B446F1">
        <w:rPr>
          <w:rFonts w:cs="Arial"/>
          <w:lang w:val="fr-FR"/>
        </w:rPr>
        <w:t xml:space="preserve"> y </w:t>
      </w:r>
      <w:proofErr w:type="spellStart"/>
      <w:r w:rsidRPr="00B446F1">
        <w:rPr>
          <w:rFonts w:cs="Arial"/>
          <w:lang w:val="fr-FR"/>
        </w:rPr>
        <w:t>Servicios</w:t>
      </w:r>
      <w:proofErr w:type="spellEnd"/>
      <w:r w:rsidRPr="00B446F1">
        <w:rPr>
          <w:rFonts w:cs="Arial"/>
          <w:lang w:val="fr-FR"/>
        </w:rPr>
        <w:t xml:space="preserve"> Sociales (</w:t>
      </w:r>
      <w:proofErr w:type="spellStart"/>
      <w:r w:rsidRPr="00B446F1">
        <w:rPr>
          <w:rFonts w:cs="Arial"/>
          <w:lang w:val="fr-FR"/>
        </w:rPr>
        <w:t>Imerso</w:t>
      </w:r>
      <w:proofErr w:type="spellEnd"/>
      <w:r w:rsidRPr="00B446F1">
        <w:rPr>
          <w:rFonts w:cs="Arial"/>
          <w:lang w:val="fr-FR"/>
        </w:rPr>
        <w:t xml:space="preserve">), </w:t>
      </w:r>
      <w:proofErr w:type="spellStart"/>
      <w:r w:rsidRPr="00B446F1">
        <w:rPr>
          <w:rFonts w:cs="Arial"/>
          <w:lang w:val="fr-FR"/>
        </w:rPr>
        <w:t>Información</w:t>
      </w:r>
      <w:proofErr w:type="spellEnd"/>
      <w:r w:rsidRPr="00B446F1">
        <w:rPr>
          <w:rFonts w:cs="Arial"/>
          <w:lang w:val="fr-FR"/>
        </w:rPr>
        <w:t xml:space="preserve"> </w:t>
      </w:r>
      <w:proofErr w:type="spellStart"/>
      <w:r w:rsidRPr="00B446F1">
        <w:rPr>
          <w:rFonts w:cs="Arial"/>
          <w:lang w:val="fr-FR"/>
        </w:rPr>
        <w:t>Estadística</w:t>
      </w:r>
      <w:proofErr w:type="spellEnd"/>
      <w:r w:rsidRPr="00B446F1">
        <w:rPr>
          <w:rFonts w:cs="Arial"/>
          <w:lang w:val="fr-FR"/>
        </w:rPr>
        <w:t xml:space="preserve"> </w:t>
      </w:r>
      <w:proofErr w:type="spellStart"/>
      <w:r w:rsidRPr="00B446F1">
        <w:rPr>
          <w:rFonts w:cs="Arial"/>
          <w:lang w:val="fr-FR"/>
        </w:rPr>
        <w:t>del</w:t>
      </w:r>
      <w:proofErr w:type="spellEnd"/>
      <w:r w:rsidRPr="00B446F1">
        <w:rPr>
          <w:rFonts w:cs="Arial"/>
          <w:lang w:val="fr-FR"/>
        </w:rPr>
        <w:t xml:space="preserve"> </w:t>
      </w:r>
      <w:proofErr w:type="spellStart"/>
      <w:r w:rsidRPr="00B446F1">
        <w:rPr>
          <w:rFonts w:cs="Arial"/>
          <w:lang w:val="fr-FR"/>
        </w:rPr>
        <w:t>Sistema</w:t>
      </w:r>
      <w:proofErr w:type="spellEnd"/>
      <w:r w:rsidRPr="00B446F1">
        <w:rPr>
          <w:rFonts w:cs="Arial"/>
          <w:lang w:val="fr-FR"/>
        </w:rPr>
        <w:t xml:space="preserve"> para la </w:t>
      </w:r>
      <w:proofErr w:type="spellStart"/>
      <w:r w:rsidRPr="00B446F1">
        <w:rPr>
          <w:rFonts w:cs="Arial"/>
          <w:lang w:val="fr-FR"/>
        </w:rPr>
        <w:t>Autonomía</w:t>
      </w:r>
      <w:proofErr w:type="spellEnd"/>
      <w:r w:rsidRPr="00B446F1">
        <w:rPr>
          <w:rFonts w:cs="Arial"/>
          <w:lang w:val="fr-FR"/>
        </w:rPr>
        <w:t xml:space="preserve"> y </w:t>
      </w:r>
      <w:proofErr w:type="spellStart"/>
      <w:r w:rsidRPr="00B446F1">
        <w:rPr>
          <w:rFonts w:cs="Arial"/>
          <w:lang w:val="fr-FR"/>
        </w:rPr>
        <w:t>Atención</w:t>
      </w:r>
      <w:proofErr w:type="spellEnd"/>
      <w:r w:rsidRPr="00B446F1">
        <w:rPr>
          <w:rFonts w:cs="Arial"/>
          <w:lang w:val="fr-FR"/>
        </w:rPr>
        <w:t xml:space="preserve"> a la </w:t>
      </w:r>
      <w:proofErr w:type="spellStart"/>
      <w:r w:rsidRPr="00B446F1">
        <w:rPr>
          <w:rFonts w:cs="Arial"/>
          <w:lang w:val="fr-FR"/>
        </w:rPr>
        <w:t>Dependencia</w:t>
      </w:r>
      <w:proofErr w:type="spellEnd"/>
      <w:r w:rsidRPr="00B446F1">
        <w:rPr>
          <w:rFonts w:cs="Arial"/>
          <w:lang w:val="fr-FR"/>
        </w:rPr>
        <w:t xml:space="preserve">, </w:t>
      </w:r>
      <w:proofErr w:type="spellStart"/>
      <w:r w:rsidRPr="00B446F1">
        <w:rPr>
          <w:rFonts w:cs="Arial"/>
          <w:lang w:val="fr-FR"/>
        </w:rPr>
        <w:t>Situación</w:t>
      </w:r>
      <w:proofErr w:type="spellEnd"/>
      <w:r w:rsidRPr="00B446F1">
        <w:rPr>
          <w:rFonts w:cs="Arial"/>
          <w:lang w:val="fr-FR"/>
        </w:rPr>
        <w:t xml:space="preserve"> a 1 de </w:t>
      </w:r>
      <w:proofErr w:type="spellStart"/>
      <w:r w:rsidRPr="00B446F1">
        <w:rPr>
          <w:rFonts w:cs="Arial"/>
          <w:lang w:val="fr-FR"/>
        </w:rPr>
        <w:t>diciembre</w:t>
      </w:r>
      <w:proofErr w:type="spellEnd"/>
      <w:r w:rsidRPr="00B446F1">
        <w:rPr>
          <w:rFonts w:cs="Arial"/>
          <w:lang w:val="fr-FR"/>
        </w:rPr>
        <w:t xml:space="preserve"> de 2012 : </w:t>
      </w:r>
      <w:hyperlink r:id="rId10" w:history="1">
        <w:r w:rsidRPr="00B446F1">
          <w:rPr>
            <w:rStyle w:val="Hyperlink"/>
            <w:rFonts w:cs="Arial"/>
            <w:lang w:val="fr-FR"/>
          </w:rPr>
          <w:t>http://www.imserso.es/InterPresent2/groups/imserso/documents/binario/im_070847.pdf</w:t>
        </w:r>
      </w:hyperlink>
      <w:r w:rsidRPr="00B446F1">
        <w:rPr>
          <w:rFonts w:cs="Arial"/>
          <w:lang w:val="es-ES"/>
        </w:rPr>
        <w:t>.</w:t>
      </w:r>
      <w:r w:rsidRPr="00B446F1">
        <w:rPr>
          <w:rFonts w:cs="Arial"/>
          <w:lang w:val="fr-FR"/>
        </w:rPr>
        <w:t xml:space="preserve"> </w:t>
      </w:r>
    </w:p>
  </w:footnote>
  <w:footnote w:id="11">
    <w:p w14:paraId="53987E7B" w14:textId="39354A82" w:rsidR="008B6471" w:rsidRPr="00B446F1" w:rsidRDefault="008B6471" w:rsidP="00A22C73">
      <w:pPr>
        <w:pStyle w:val="FootnoteText"/>
        <w:ind w:left="284" w:hanging="284"/>
        <w:jc w:val="left"/>
        <w:rPr>
          <w:rFonts w:cs="Arial"/>
          <w:lang w:val="fr-FR"/>
        </w:rPr>
      </w:pPr>
      <w:r w:rsidRPr="00B446F1">
        <w:rPr>
          <w:rStyle w:val="FootnoteReference"/>
          <w:rFonts w:cs="Arial"/>
        </w:rPr>
        <w:footnoteRef/>
      </w:r>
      <w:r w:rsidRPr="00B446F1">
        <w:rPr>
          <w:rFonts w:cs="Arial"/>
          <w:lang w:val="fr-FR"/>
        </w:rPr>
        <w:t xml:space="preserve"> </w:t>
      </w:r>
      <w:r>
        <w:rPr>
          <w:rFonts w:cs="Arial"/>
          <w:lang w:val="fr-FR"/>
        </w:rPr>
        <w:tab/>
      </w:r>
      <w:r w:rsidRPr="00B446F1">
        <w:rPr>
          <w:rFonts w:cs="Arial"/>
          <w:lang w:val="fr-FR"/>
        </w:rPr>
        <w:t xml:space="preserve">Instituto de </w:t>
      </w:r>
      <w:proofErr w:type="spellStart"/>
      <w:r w:rsidRPr="00B446F1">
        <w:rPr>
          <w:rFonts w:cs="Arial"/>
          <w:lang w:val="fr-FR"/>
        </w:rPr>
        <w:t>Mayores</w:t>
      </w:r>
      <w:proofErr w:type="spellEnd"/>
      <w:r w:rsidRPr="00B446F1">
        <w:rPr>
          <w:rFonts w:cs="Arial"/>
          <w:lang w:val="fr-FR"/>
        </w:rPr>
        <w:t xml:space="preserve"> y </w:t>
      </w:r>
      <w:proofErr w:type="spellStart"/>
      <w:r w:rsidRPr="00B446F1">
        <w:rPr>
          <w:rFonts w:cs="Arial"/>
          <w:lang w:val="fr-FR"/>
        </w:rPr>
        <w:t>Servicios</w:t>
      </w:r>
      <w:proofErr w:type="spellEnd"/>
      <w:r w:rsidRPr="00B446F1">
        <w:rPr>
          <w:rFonts w:cs="Arial"/>
          <w:lang w:val="fr-FR"/>
        </w:rPr>
        <w:t xml:space="preserve"> Sociales (</w:t>
      </w:r>
      <w:proofErr w:type="spellStart"/>
      <w:r w:rsidRPr="00B446F1">
        <w:rPr>
          <w:rFonts w:cs="Arial"/>
          <w:lang w:val="fr-FR"/>
        </w:rPr>
        <w:t>Imerso</w:t>
      </w:r>
      <w:proofErr w:type="spellEnd"/>
      <w:r w:rsidRPr="00B446F1">
        <w:rPr>
          <w:rFonts w:cs="Arial"/>
          <w:lang w:val="fr-FR"/>
        </w:rPr>
        <w:t xml:space="preserve">), </w:t>
      </w:r>
      <w:proofErr w:type="spellStart"/>
      <w:r w:rsidRPr="00B446F1">
        <w:rPr>
          <w:rFonts w:cs="Arial"/>
          <w:lang w:val="fr-FR"/>
        </w:rPr>
        <w:t>Información</w:t>
      </w:r>
      <w:proofErr w:type="spellEnd"/>
      <w:r w:rsidRPr="00B446F1">
        <w:rPr>
          <w:rFonts w:cs="Arial"/>
          <w:lang w:val="fr-FR"/>
        </w:rPr>
        <w:t xml:space="preserve"> </w:t>
      </w:r>
      <w:proofErr w:type="spellStart"/>
      <w:r w:rsidRPr="00B446F1">
        <w:rPr>
          <w:rFonts w:cs="Arial"/>
          <w:lang w:val="fr-FR"/>
        </w:rPr>
        <w:t>Estadística</w:t>
      </w:r>
      <w:proofErr w:type="spellEnd"/>
      <w:r w:rsidRPr="00B446F1">
        <w:rPr>
          <w:rFonts w:cs="Arial"/>
          <w:lang w:val="fr-FR"/>
        </w:rPr>
        <w:t xml:space="preserve"> </w:t>
      </w:r>
      <w:proofErr w:type="spellStart"/>
      <w:r w:rsidRPr="00B446F1">
        <w:rPr>
          <w:rFonts w:cs="Arial"/>
          <w:lang w:val="fr-FR"/>
        </w:rPr>
        <w:t>del</w:t>
      </w:r>
      <w:proofErr w:type="spellEnd"/>
      <w:r w:rsidRPr="00B446F1">
        <w:rPr>
          <w:rFonts w:cs="Arial"/>
          <w:lang w:val="fr-FR"/>
        </w:rPr>
        <w:t xml:space="preserve"> </w:t>
      </w:r>
      <w:proofErr w:type="spellStart"/>
      <w:r w:rsidRPr="00B446F1">
        <w:rPr>
          <w:rFonts w:cs="Arial"/>
          <w:lang w:val="fr-FR"/>
        </w:rPr>
        <w:t>Sistema</w:t>
      </w:r>
      <w:proofErr w:type="spellEnd"/>
      <w:r w:rsidRPr="00B446F1">
        <w:rPr>
          <w:rFonts w:cs="Arial"/>
          <w:lang w:val="fr-FR"/>
        </w:rPr>
        <w:t xml:space="preserve"> para la </w:t>
      </w:r>
      <w:proofErr w:type="spellStart"/>
      <w:r w:rsidRPr="00B446F1">
        <w:rPr>
          <w:rFonts w:cs="Arial"/>
          <w:lang w:val="fr-FR"/>
        </w:rPr>
        <w:t>Autonomía</w:t>
      </w:r>
      <w:proofErr w:type="spellEnd"/>
      <w:r w:rsidRPr="00B446F1">
        <w:rPr>
          <w:rFonts w:cs="Arial"/>
          <w:lang w:val="fr-FR"/>
        </w:rPr>
        <w:t xml:space="preserve"> y </w:t>
      </w:r>
      <w:proofErr w:type="spellStart"/>
      <w:r w:rsidRPr="00B446F1">
        <w:rPr>
          <w:rFonts w:cs="Arial"/>
          <w:lang w:val="fr-FR"/>
        </w:rPr>
        <w:t>Atención</w:t>
      </w:r>
      <w:proofErr w:type="spellEnd"/>
      <w:r w:rsidRPr="00B446F1">
        <w:rPr>
          <w:rFonts w:cs="Arial"/>
          <w:lang w:val="fr-FR"/>
        </w:rPr>
        <w:t xml:space="preserve"> a la </w:t>
      </w:r>
      <w:proofErr w:type="spellStart"/>
      <w:r w:rsidRPr="00B446F1">
        <w:rPr>
          <w:rFonts w:cs="Arial"/>
          <w:lang w:val="fr-FR"/>
        </w:rPr>
        <w:t>Dependencia</w:t>
      </w:r>
      <w:proofErr w:type="spellEnd"/>
      <w:r w:rsidRPr="00B446F1">
        <w:rPr>
          <w:rFonts w:cs="Arial"/>
          <w:lang w:val="fr-FR"/>
        </w:rPr>
        <w:t xml:space="preserve">, </w:t>
      </w:r>
      <w:proofErr w:type="spellStart"/>
      <w:r w:rsidRPr="00B446F1">
        <w:rPr>
          <w:rFonts w:cs="Arial"/>
          <w:lang w:val="fr-FR"/>
        </w:rPr>
        <w:t>Situación</w:t>
      </w:r>
      <w:proofErr w:type="spellEnd"/>
      <w:r w:rsidRPr="00B446F1">
        <w:rPr>
          <w:rFonts w:cs="Arial"/>
          <w:lang w:val="fr-FR"/>
        </w:rPr>
        <w:t xml:space="preserve"> a 1 de </w:t>
      </w:r>
      <w:proofErr w:type="spellStart"/>
      <w:r w:rsidRPr="00B446F1">
        <w:rPr>
          <w:rFonts w:cs="Arial"/>
          <w:lang w:val="fr-FR"/>
        </w:rPr>
        <w:t>diciembre</w:t>
      </w:r>
      <w:proofErr w:type="spellEnd"/>
      <w:r w:rsidRPr="00B446F1">
        <w:rPr>
          <w:rFonts w:cs="Arial"/>
          <w:lang w:val="fr-FR"/>
        </w:rPr>
        <w:t xml:space="preserve"> de 2013 : </w:t>
      </w:r>
      <w:hyperlink r:id="rId11" w:history="1">
        <w:r w:rsidRPr="00B446F1">
          <w:rPr>
            <w:rStyle w:val="Hyperlink"/>
            <w:rFonts w:cs="Arial"/>
            <w:lang w:val="fr-FR"/>
          </w:rPr>
          <w:t>http://www.imserso.es/InterPresent2/groups/imserso/documents/binario/im_082047.pdf</w:t>
        </w:r>
      </w:hyperlink>
      <w:r w:rsidRPr="00B446F1">
        <w:rPr>
          <w:rFonts w:cs="Arial"/>
          <w:lang w:val="es-ES"/>
        </w:rPr>
        <w:t>.</w:t>
      </w:r>
      <w:r w:rsidRPr="00B446F1">
        <w:rPr>
          <w:rFonts w:cs="Arial"/>
          <w:lang w:val="fr-FR"/>
        </w:rPr>
        <w:t xml:space="preserve"> </w:t>
      </w:r>
    </w:p>
  </w:footnote>
  <w:footnote w:id="12">
    <w:p w14:paraId="1F4AD207" w14:textId="4C783677" w:rsidR="008B6471" w:rsidRPr="00B446F1" w:rsidRDefault="008B6471" w:rsidP="00A22C73">
      <w:pPr>
        <w:pStyle w:val="FootnoteText"/>
        <w:ind w:left="284" w:hanging="284"/>
        <w:jc w:val="left"/>
        <w:rPr>
          <w:rFonts w:cs="Arial"/>
          <w:lang w:val="fr-FR"/>
        </w:rPr>
      </w:pPr>
      <w:r w:rsidRPr="00B446F1">
        <w:rPr>
          <w:rStyle w:val="FootnoteReference"/>
          <w:rFonts w:cs="Arial"/>
        </w:rPr>
        <w:footnoteRef/>
      </w:r>
      <w:r w:rsidRPr="00B446F1">
        <w:rPr>
          <w:rFonts w:cs="Arial"/>
          <w:lang w:val="fr-FR"/>
        </w:rPr>
        <w:t xml:space="preserve"> </w:t>
      </w:r>
      <w:r>
        <w:rPr>
          <w:rFonts w:cs="Arial"/>
          <w:lang w:val="fr-FR"/>
        </w:rPr>
        <w:tab/>
      </w:r>
      <w:r w:rsidRPr="00B446F1">
        <w:rPr>
          <w:rFonts w:cs="Arial"/>
          <w:lang w:val="fr-FR"/>
        </w:rPr>
        <w:t xml:space="preserve">Instituto de </w:t>
      </w:r>
      <w:proofErr w:type="spellStart"/>
      <w:r w:rsidRPr="00B446F1">
        <w:rPr>
          <w:rFonts w:cs="Arial"/>
          <w:lang w:val="fr-FR"/>
        </w:rPr>
        <w:t>Mayores</w:t>
      </w:r>
      <w:proofErr w:type="spellEnd"/>
      <w:r w:rsidRPr="00B446F1">
        <w:rPr>
          <w:rFonts w:cs="Arial"/>
          <w:lang w:val="fr-FR"/>
        </w:rPr>
        <w:t xml:space="preserve"> y </w:t>
      </w:r>
      <w:proofErr w:type="spellStart"/>
      <w:r w:rsidRPr="00B446F1">
        <w:rPr>
          <w:rFonts w:cs="Arial"/>
          <w:lang w:val="fr-FR"/>
        </w:rPr>
        <w:t>Servicios</w:t>
      </w:r>
      <w:proofErr w:type="spellEnd"/>
      <w:r w:rsidRPr="00B446F1">
        <w:rPr>
          <w:rFonts w:cs="Arial"/>
          <w:lang w:val="fr-FR"/>
        </w:rPr>
        <w:t xml:space="preserve"> Sociales (</w:t>
      </w:r>
      <w:proofErr w:type="spellStart"/>
      <w:r w:rsidRPr="00B446F1">
        <w:rPr>
          <w:rFonts w:cs="Arial"/>
          <w:lang w:val="fr-FR"/>
        </w:rPr>
        <w:t>Imerso</w:t>
      </w:r>
      <w:proofErr w:type="spellEnd"/>
      <w:r w:rsidRPr="00B446F1">
        <w:rPr>
          <w:rFonts w:cs="Arial"/>
          <w:lang w:val="fr-FR"/>
        </w:rPr>
        <w:t xml:space="preserve">), </w:t>
      </w:r>
      <w:proofErr w:type="spellStart"/>
      <w:r w:rsidRPr="00B446F1">
        <w:rPr>
          <w:rFonts w:cs="Arial"/>
          <w:lang w:val="fr-FR"/>
        </w:rPr>
        <w:t>Información</w:t>
      </w:r>
      <w:proofErr w:type="spellEnd"/>
      <w:r w:rsidRPr="00B446F1">
        <w:rPr>
          <w:rFonts w:cs="Arial"/>
          <w:lang w:val="fr-FR"/>
        </w:rPr>
        <w:t xml:space="preserve"> </w:t>
      </w:r>
      <w:proofErr w:type="spellStart"/>
      <w:r w:rsidRPr="00B446F1">
        <w:rPr>
          <w:rFonts w:cs="Arial"/>
          <w:lang w:val="fr-FR"/>
        </w:rPr>
        <w:t>Estadística</w:t>
      </w:r>
      <w:proofErr w:type="spellEnd"/>
      <w:r w:rsidRPr="00B446F1">
        <w:rPr>
          <w:rFonts w:cs="Arial"/>
          <w:lang w:val="fr-FR"/>
        </w:rPr>
        <w:t xml:space="preserve"> </w:t>
      </w:r>
      <w:proofErr w:type="spellStart"/>
      <w:r w:rsidRPr="00B446F1">
        <w:rPr>
          <w:rFonts w:cs="Arial"/>
          <w:lang w:val="fr-FR"/>
        </w:rPr>
        <w:t>del</w:t>
      </w:r>
      <w:proofErr w:type="spellEnd"/>
      <w:r w:rsidRPr="00B446F1">
        <w:rPr>
          <w:rFonts w:cs="Arial"/>
          <w:lang w:val="fr-FR"/>
        </w:rPr>
        <w:t xml:space="preserve"> </w:t>
      </w:r>
      <w:proofErr w:type="spellStart"/>
      <w:r w:rsidRPr="00B446F1">
        <w:rPr>
          <w:rFonts w:cs="Arial"/>
          <w:lang w:val="fr-FR"/>
        </w:rPr>
        <w:t>Sistema</w:t>
      </w:r>
      <w:proofErr w:type="spellEnd"/>
      <w:r w:rsidRPr="00B446F1">
        <w:rPr>
          <w:rFonts w:cs="Arial"/>
          <w:lang w:val="fr-FR"/>
        </w:rPr>
        <w:t xml:space="preserve"> para la </w:t>
      </w:r>
      <w:proofErr w:type="spellStart"/>
      <w:r w:rsidRPr="00B446F1">
        <w:rPr>
          <w:rFonts w:cs="Arial"/>
          <w:lang w:val="fr-FR"/>
        </w:rPr>
        <w:t>Autonomía</w:t>
      </w:r>
      <w:proofErr w:type="spellEnd"/>
      <w:r w:rsidRPr="00B446F1">
        <w:rPr>
          <w:rFonts w:cs="Arial"/>
          <w:lang w:val="fr-FR"/>
        </w:rPr>
        <w:t xml:space="preserve"> y </w:t>
      </w:r>
      <w:proofErr w:type="spellStart"/>
      <w:r w:rsidRPr="00B446F1">
        <w:rPr>
          <w:rFonts w:cs="Arial"/>
          <w:lang w:val="fr-FR"/>
        </w:rPr>
        <w:t>Atención</w:t>
      </w:r>
      <w:proofErr w:type="spellEnd"/>
      <w:r w:rsidRPr="00B446F1">
        <w:rPr>
          <w:rFonts w:cs="Arial"/>
          <w:lang w:val="fr-FR"/>
        </w:rPr>
        <w:t xml:space="preserve"> a la </w:t>
      </w:r>
      <w:proofErr w:type="spellStart"/>
      <w:r w:rsidRPr="00B446F1">
        <w:rPr>
          <w:rFonts w:cs="Arial"/>
          <w:lang w:val="fr-FR"/>
        </w:rPr>
        <w:t>Dependencia</w:t>
      </w:r>
      <w:proofErr w:type="spellEnd"/>
      <w:r w:rsidRPr="00B446F1">
        <w:rPr>
          <w:rFonts w:cs="Arial"/>
          <w:lang w:val="fr-FR"/>
        </w:rPr>
        <w:t xml:space="preserve">, </w:t>
      </w:r>
      <w:proofErr w:type="spellStart"/>
      <w:r w:rsidRPr="00B446F1">
        <w:rPr>
          <w:rFonts w:cs="Arial"/>
          <w:lang w:val="fr-FR"/>
        </w:rPr>
        <w:t>Situación</w:t>
      </w:r>
      <w:proofErr w:type="spellEnd"/>
      <w:r w:rsidRPr="00B446F1">
        <w:rPr>
          <w:rFonts w:cs="Arial"/>
          <w:lang w:val="fr-FR"/>
        </w:rPr>
        <w:t xml:space="preserve"> a 1 de </w:t>
      </w:r>
      <w:proofErr w:type="spellStart"/>
      <w:r w:rsidRPr="00B446F1">
        <w:rPr>
          <w:rFonts w:cs="Arial"/>
          <w:lang w:val="fr-FR"/>
        </w:rPr>
        <w:t>diciembre</w:t>
      </w:r>
      <w:proofErr w:type="spellEnd"/>
      <w:r w:rsidRPr="00B446F1">
        <w:rPr>
          <w:rFonts w:cs="Arial"/>
          <w:lang w:val="fr-FR"/>
        </w:rPr>
        <w:t xml:space="preserve"> de 2014: </w:t>
      </w:r>
      <w:hyperlink r:id="rId12" w:history="1">
        <w:r w:rsidRPr="00B446F1">
          <w:rPr>
            <w:rStyle w:val="Hyperlink"/>
            <w:rFonts w:cs="Arial"/>
            <w:lang w:val="fr-FR"/>
          </w:rPr>
          <w:t>http://www.imserso.es/InterPresent2/groups/imserso/documents/binario/estsisaad20141231.pdf</w:t>
        </w:r>
      </w:hyperlink>
      <w:r w:rsidRPr="00B446F1">
        <w:rPr>
          <w:rFonts w:cs="Arial"/>
          <w:lang w:val="es-ES"/>
        </w:rPr>
        <w:t>.</w:t>
      </w:r>
      <w:r w:rsidRPr="00B446F1">
        <w:rPr>
          <w:rFonts w:cs="Arial"/>
          <w:lang w:val="fr-FR"/>
        </w:rPr>
        <w:t xml:space="preserve"> </w:t>
      </w:r>
    </w:p>
  </w:footnote>
  <w:footnote w:id="13">
    <w:p w14:paraId="277812BD" w14:textId="3ACE59E2" w:rsidR="008B6471" w:rsidRPr="00B446F1" w:rsidRDefault="008B6471" w:rsidP="00A22C73">
      <w:pPr>
        <w:pStyle w:val="FootnoteText"/>
        <w:ind w:left="284" w:hanging="284"/>
        <w:jc w:val="left"/>
        <w:rPr>
          <w:rFonts w:cs="Arial"/>
          <w:lang w:val="fr-FR"/>
        </w:rPr>
      </w:pPr>
      <w:r w:rsidRPr="00B446F1">
        <w:rPr>
          <w:rStyle w:val="FootnoteReference"/>
          <w:rFonts w:cs="Arial"/>
        </w:rPr>
        <w:footnoteRef/>
      </w:r>
      <w:r w:rsidRPr="00B446F1">
        <w:rPr>
          <w:rFonts w:cs="Arial"/>
          <w:lang w:val="fr-FR"/>
        </w:rPr>
        <w:t xml:space="preserve"> </w:t>
      </w:r>
      <w:r>
        <w:rPr>
          <w:rFonts w:cs="Arial"/>
          <w:lang w:val="fr-FR"/>
        </w:rPr>
        <w:tab/>
      </w:r>
      <w:r w:rsidRPr="00B446F1">
        <w:rPr>
          <w:rFonts w:cs="Arial"/>
          <w:lang w:val="fr-FR"/>
        </w:rPr>
        <w:t xml:space="preserve">Instituto de </w:t>
      </w:r>
      <w:proofErr w:type="spellStart"/>
      <w:r w:rsidRPr="00B446F1">
        <w:rPr>
          <w:rFonts w:cs="Arial"/>
          <w:lang w:val="fr-FR"/>
        </w:rPr>
        <w:t>Mayores</w:t>
      </w:r>
      <w:proofErr w:type="spellEnd"/>
      <w:r w:rsidRPr="00B446F1">
        <w:rPr>
          <w:rFonts w:cs="Arial"/>
          <w:lang w:val="fr-FR"/>
        </w:rPr>
        <w:t xml:space="preserve"> y </w:t>
      </w:r>
      <w:proofErr w:type="spellStart"/>
      <w:r w:rsidRPr="00B446F1">
        <w:rPr>
          <w:rFonts w:cs="Arial"/>
          <w:lang w:val="fr-FR"/>
        </w:rPr>
        <w:t>Servicios</w:t>
      </w:r>
      <w:proofErr w:type="spellEnd"/>
      <w:r w:rsidRPr="00B446F1">
        <w:rPr>
          <w:rFonts w:cs="Arial"/>
          <w:lang w:val="fr-FR"/>
        </w:rPr>
        <w:t xml:space="preserve"> Sociales (</w:t>
      </w:r>
      <w:proofErr w:type="spellStart"/>
      <w:r w:rsidRPr="00B446F1">
        <w:rPr>
          <w:rFonts w:cs="Arial"/>
          <w:lang w:val="fr-FR"/>
        </w:rPr>
        <w:t>Imerso</w:t>
      </w:r>
      <w:proofErr w:type="spellEnd"/>
      <w:r w:rsidRPr="00B446F1">
        <w:rPr>
          <w:rFonts w:cs="Arial"/>
          <w:lang w:val="fr-FR"/>
        </w:rPr>
        <w:t xml:space="preserve">), </w:t>
      </w:r>
      <w:proofErr w:type="spellStart"/>
      <w:r w:rsidRPr="00B446F1">
        <w:rPr>
          <w:rFonts w:cs="Arial"/>
          <w:lang w:val="fr-FR"/>
        </w:rPr>
        <w:t>Información</w:t>
      </w:r>
      <w:proofErr w:type="spellEnd"/>
      <w:r w:rsidRPr="00B446F1">
        <w:rPr>
          <w:rFonts w:cs="Arial"/>
          <w:lang w:val="fr-FR"/>
        </w:rPr>
        <w:t xml:space="preserve"> </w:t>
      </w:r>
      <w:proofErr w:type="spellStart"/>
      <w:r w:rsidRPr="00B446F1">
        <w:rPr>
          <w:rFonts w:cs="Arial"/>
          <w:lang w:val="fr-FR"/>
        </w:rPr>
        <w:t>Estadística</w:t>
      </w:r>
      <w:proofErr w:type="spellEnd"/>
      <w:r w:rsidRPr="00B446F1">
        <w:rPr>
          <w:rFonts w:cs="Arial"/>
          <w:lang w:val="fr-FR"/>
        </w:rPr>
        <w:t xml:space="preserve"> </w:t>
      </w:r>
      <w:proofErr w:type="spellStart"/>
      <w:r w:rsidRPr="00B446F1">
        <w:rPr>
          <w:rFonts w:cs="Arial"/>
          <w:lang w:val="fr-FR"/>
        </w:rPr>
        <w:t>del</w:t>
      </w:r>
      <w:proofErr w:type="spellEnd"/>
      <w:r w:rsidRPr="00B446F1">
        <w:rPr>
          <w:rFonts w:cs="Arial"/>
          <w:lang w:val="fr-FR"/>
        </w:rPr>
        <w:t xml:space="preserve"> </w:t>
      </w:r>
      <w:proofErr w:type="spellStart"/>
      <w:r w:rsidRPr="00B446F1">
        <w:rPr>
          <w:rFonts w:cs="Arial"/>
          <w:lang w:val="fr-FR"/>
        </w:rPr>
        <w:t>Sistema</w:t>
      </w:r>
      <w:proofErr w:type="spellEnd"/>
      <w:r w:rsidRPr="00B446F1">
        <w:rPr>
          <w:rFonts w:cs="Arial"/>
          <w:lang w:val="fr-FR"/>
        </w:rPr>
        <w:t xml:space="preserve"> para la </w:t>
      </w:r>
      <w:proofErr w:type="spellStart"/>
      <w:r w:rsidRPr="00B446F1">
        <w:rPr>
          <w:rFonts w:cs="Arial"/>
          <w:lang w:val="fr-FR"/>
        </w:rPr>
        <w:t>Autonomía</w:t>
      </w:r>
      <w:proofErr w:type="spellEnd"/>
      <w:r w:rsidRPr="00B446F1">
        <w:rPr>
          <w:rFonts w:cs="Arial"/>
          <w:lang w:val="fr-FR"/>
        </w:rPr>
        <w:t xml:space="preserve"> y </w:t>
      </w:r>
      <w:proofErr w:type="spellStart"/>
      <w:r w:rsidRPr="00B446F1">
        <w:rPr>
          <w:rFonts w:cs="Arial"/>
          <w:lang w:val="fr-FR"/>
        </w:rPr>
        <w:t>Atención</w:t>
      </w:r>
      <w:proofErr w:type="spellEnd"/>
      <w:r w:rsidRPr="00B446F1">
        <w:rPr>
          <w:rFonts w:cs="Arial"/>
          <w:lang w:val="fr-FR"/>
        </w:rPr>
        <w:t xml:space="preserve"> a la </w:t>
      </w:r>
      <w:proofErr w:type="spellStart"/>
      <w:r w:rsidRPr="00B446F1">
        <w:rPr>
          <w:rFonts w:cs="Arial"/>
          <w:lang w:val="fr-FR"/>
        </w:rPr>
        <w:t>Dependencia</w:t>
      </w:r>
      <w:proofErr w:type="spellEnd"/>
      <w:r w:rsidRPr="00B446F1">
        <w:rPr>
          <w:rFonts w:cs="Arial"/>
          <w:lang w:val="fr-FR"/>
        </w:rPr>
        <w:t xml:space="preserve">, </w:t>
      </w:r>
      <w:proofErr w:type="spellStart"/>
      <w:r w:rsidRPr="00B446F1">
        <w:rPr>
          <w:rFonts w:cs="Arial"/>
          <w:lang w:val="fr-FR"/>
        </w:rPr>
        <w:t>Situación</w:t>
      </w:r>
      <w:proofErr w:type="spellEnd"/>
      <w:r w:rsidRPr="00B446F1">
        <w:rPr>
          <w:rFonts w:cs="Arial"/>
          <w:lang w:val="fr-FR"/>
        </w:rPr>
        <w:t xml:space="preserve"> a 1 de </w:t>
      </w:r>
      <w:proofErr w:type="spellStart"/>
      <w:r w:rsidRPr="00B446F1">
        <w:rPr>
          <w:rFonts w:cs="Arial"/>
          <w:lang w:val="fr-FR"/>
        </w:rPr>
        <w:t>diciembre</w:t>
      </w:r>
      <w:proofErr w:type="spellEnd"/>
      <w:r w:rsidRPr="00B446F1">
        <w:rPr>
          <w:rFonts w:cs="Arial"/>
          <w:lang w:val="fr-FR"/>
        </w:rPr>
        <w:t xml:space="preserve"> de 2015: </w:t>
      </w:r>
      <w:hyperlink r:id="rId13" w:history="1">
        <w:r w:rsidRPr="00B446F1">
          <w:rPr>
            <w:rStyle w:val="Hyperlink"/>
            <w:rFonts w:cs="Arial"/>
            <w:lang w:val="fr-FR"/>
          </w:rPr>
          <w:t>http://www.imserso.es/InterPresent2/groups/imserso/documents/binario/estsisaad20151231.pdf</w:t>
        </w:r>
      </w:hyperlink>
      <w:r w:rsidRPr="00B446F1">
        <w:rPr>
          <w:rFonts w:cs="Arial"/>
          <w:lang w:val="es-ES"/>
        </w:rPr>
        <w:t>.</w:t>
      </w:r>
      <w:r w:rsidRPr="00B446F1">
        <w:rPr>
          <w:rFonts w:cs="Arial"/>
          <w:lang w:val="fr-FR"/>
        </w:rPr>
        <w:t xml:space="preserve"> </w:t>
      </w:r>
    </w:p>
  </w:footnote>
  <w:footnote w:id="14">
    <w:p w14:paraId="338F00E2" w14:textId="195B0719" w:rsidR="008B6471" w:rsidRPr="00B446F1" w:rsidRDefault="008B6471" w:rsidP="00A22C73">
      <w:pPr>
        <w:pStyle w:val="FootnoteText"/>
        <w:ind w:left="284" w:hanging="284"/>
        <w:jc w:val="left"/>
        <w:rPr>
          <w:rFonts w:cs="Arial"/>
          <w:lang w:val="fr-FR"/>
        </w:rPr>
      </w:pPr>
      <w:r w:rsidRPr="00B446F1">
        <w:rPr>
          <w:rStyle w:val="FootnoteReference"/>
          <w:rFonts w:cs="Arial"/>
        </w:rPr>
        <w:footnoteRef/>
      </w:r>
      <w:r w:rsidRPr="00B446F1">
        <w:rPr>
          <w:rFonts w:cs="Arial"/>
          <w:lang w:val="fr-FR"/>
        </w:rPr>
        <w:t xml:space="preserve"> </w:t>
      </w:r>
      <w:r>
        <w:rPr>
          <w:rFonts w:cs="Arial"/>
          <w:lang w:val="fr-FR"/>
        </w:rPr>
        <w:tab/>
      </w:r>
      <w:r w:rsidRPr="00B446F1">
        <w:rPr>
          <w:rFonts w:cs="Arial"/>
          <w:lang w:val="fr-FR"/>
        </w:rPr>
        <w:t xml:space="preserve">Instituto de </w:t>
      </w:r>
      <w:proofErr w:type="spellStart"/>
      <w:r w:rsidRPr="00B446F1">
        <w:rPr>
          <w:rFonts w:cs="Arial"/>
          <w:lang w:val="fr-FR"/>
        </w:rPr>
        <w:t>Mayores</w:t>
      </w:r>
      <w:proofErr w:type="spellEnd"/>
      <w:r w:rsidRPr="00B446F1">
        <w:rPr>
          <w:rFonts w:cs="Arial"/>
          <w:lang w:val="fr-FR"/>
        </w:rPr>
        <w:t xml:space="preserve"> y </w:t>
      </w:r>
      <w:proofErr w:type="spellStart"/>
      <w:r w:rsidRPr="00B446F1">
        <w:rPr>
          <w:rFonts w:cs="Arial"/>
          <w:lang w:val="fr-FR"/>
        </w:rPr>
        <w:t>Servicios</w:t>
      </w:r>
      <w:proofErr w:type="spellEnd"/>
      <w:r w:rsidRPr="00B446F1">
        <w:rPr>
          <w:rFonts w:cs="Arial"/>
          <w:lang w:val="fr-FR"/>
        </w:rPr>
        <w:t xml:space="preserve"> Sociales (</w:t>
      </w:r>
      <w:proofErr w:type="spellStart"/>
      <w:r w:rsidRPr="00B446F1">
        <w:rPr>
          <w:rFonts w:cs="Arial"/>
          <w:lang w:val="fr-FR"/>
        </w:rPr>
        <w:t>Imerso</w:t>
      </w:r>
      <w:proofErr w:type="spellEnd"/>
      <w:r w:rsidRPr="00B446F1">
        <w:rPr>
          <w:rFonts w:cs="Arial"/>
          <w:lang w:val="fr-FR"/>
        </w:rPr>
        <w:t xml:space="preserve">), </w:t>
      </w:r>
      <w:proofErr w:type="spellStart"/>
      <w:r w:rsidRPr="00B446F1">
        <w:rPr>
          <w:rFonts w:cs="Arial"/>
          <w:lang w:val="fr-FR"/>
        </w:rPr>
        <w:t>Información</w:t>
      </w:r>
      <w:proofErr w:type="spellEnd"/>
      <w:r w:rsidRPr="00B446F1">
        <w:rPr>
          <w:rFonts w:cs="Arial"/>
          <w:lang w:val="fr-FR"/>
        </w:rPr>
        <w:t xml:space="preserve"> </w:t>
      </w:r>
      <w:proofErr w:type="spellStart"/>
      <w:r w:rsidRPr="00B446F1">
        <w:rPr>
          <w:rFonts w:cs="Arial"/>
          <w:lang w:val="fr-FR"/>
        </w:rPr>
        <w:t>Estadística</w:t>
      </w:r>
      <w:proofErr w:type="spellEnd"/>
      <w:r w:rsidRPr="00B446F1">
        <w:rPr>
          <w:rFonts w:cs="Arial"/>
          <w:lang w:val="fr-FR"/>
        </w:rPr>
        <w:t xml:space="preserve"> </w:t>
      </w:r>
      <w:proofErr w:type="spellStart"/>
      <w:r w:rsidRPr="00B446F1">
        <w:rPr>
          <w:rFonts w:cs="Arial"/>
          <w:lang w:val="fr-FR"/>
        </w:rPr>
        <w:t>del</w:t>
      </w:r>
      <w:proofErr w:type="spellEnd"/>
      <w:r w:rsidRPr="00B446F1">
        <w:rPr>
          <w:rFonts w:cs="Arial"/>
          <w:lang w:val="fr-FR"/>
        </w:rPr>
        <w:t xml:space="preserve"> </w:t>
      </w:r>
      <w:proofErr w:type="spellStart"/>
      <w:r w:rsidRPr="00B446F1">
        <w:rPr>
          <w:rFonts w:cs="Arial"/>
          <w:lang w:val="fr-FR"/>
        </w:rPr>
        <w:t>Sistema</w:t>
      </w:r>
      <w:proofErr w:type="spellEnd"/>
      <w:r w:rsidRPr="00B446F1">
        <w:rPr>
          <w:rFonts w:cs="Arial"/>
          <w:lang w:val="fr-FR"/>
        </w:rPr>
        <w:t xml:space="preserve"> para la </w:t>
      </w:r>
      <w:proofErr w:type="spellStart"/>
      <w:r w:rsidRPr="00B446F1">
        <w:rPr>
          <w:rFonts w:cs="Arial"/>
          <w:lang w:val="fr-FR"/>
        </w:rPr>
        <w:t>Autonomía</w:t>
      </w:r>
      <w:proofErr w:type="spellEnd"/>
      <w:r w:rsidRPr="00B446F1">
        <w:rPr>
          <w:rFonts w:cs="Arial"/>
          <w:lang w:val="fr-FR"/>
        </w:rPr>
        <w:t xml:space="preserve"> y </w:t>
      </w:r>
      <w:proofErr w:type="spellStart"/>
      <w:r w:rsidRPr="00B446F1">
        <w:rPr>
          <w:rFonts w:cs="Arial"/>
          <w:lang w:val="fr-FR"/>
        </w:rPr>
        <w:t>Atención</w:t>
      </w:r>
      <w:proofErr w:type="spellEnd"/>
      <w:r w:rsidRPr="00B446F1">
        <w:rPr>
          <w:rFonts w:cs="Arial"/>
          <w:lang w:val="fr-FR"/>
        </w:rPr>
        <w:t xml:space="preserve"> a la </w:t>
      </w:r>
      <w:proofErr w:type="spellStart"/>
      <w:r w:rsidRPr="00B446F1">
        <w:rPr>
          <w:rFonts w:cs="Arial"/>
          <w:lang w:val="fr-FR"/>
        </w:rPr>
        <w:t>Dependencia</w:t>
      </w:r>
      <w:proofErr w:type="spellEnd"/>
      <w:r w:rsidRPr="00B446F1">
        <w:rPr>
          <w:rFonts w:cs="Arial"/>
          <w:lang w:val="fr-FR"/>
        </w:rPr>
        <w:t xml:space="preserve">, </w:t>
      </w:r>
      <w:proofErr w:type="spellStart"/>
      <w:r w:rsidRPr="00B446F1">
        <w:rPr>
          <w:rFonts w:cs="Arial"/>
          <w:lang w:val="fr-FR"/>
        </w:rPr>
        <w:t>Situación</w:t>
      </w:r>
      <w:proofErr w:type="spellEnd"/>
      <w:r w:rsidRPr="00B446F1">
        <w:rPr>
          <w:rFonts w:cs="Arial"/>
          <w:lang w:val="fr-FR"/>
        </w:rPr>
        <w:t xml:space="preserve"> a 1 de </w:t>
      </w:r>
      <w:proofErr w:type="spellStart"/>
      <w:r w:rsidRPr="00B446F1">
        <w:rPr>
          <w:rFonts w:cs="Arial"/>
          <w:lang w:val="fr-FR"/>
        </w:rPr>
        <w:t>diciembre</w:t>
      </w:r>
      <w:proofErr w:type="spellEnd"/>
      <w:r w:rsidRPr="00B446F1">
        <w:rPr>
          <w:rFonts w:cs="Arial"/>
          <w:lang w:val="fr-FR"/>
        </w:rPr>
        <w:t xml:space="preserve"> de 2016: </w:t>
      </w:r>
      <w:hyperlink r:id="rId14" w:history="1">
        <w:r w:rsidRPr="00B446F1">
          <w:rPr>
            <w:rStyle w:val="Hyperlink"/>
            <w:rFonts w:cs="Arial"/>
            <w:lang w:val="fr-FR"/>
          </w:rPr>
          <w:t>http://www.imserso.es/InterPresent2/groups/imserso/documents/binario/estsisaad20161231.pdf</w:t>
        </w:r>
      </w:hyperlink>
      <w:r w:rsidRPr="00B446F1">
        <w:rPr>
          <w:rFonts w:cs="Arial"/>
          <w:lang w:val="es-ES"/>
        </w:rPr>
        <w:t>.</w:t>
      </w:r>
      <w:r w:rsidRPr="00B446F1">
        <w:rPr>
          <w:rFonts w:cs="Arial"/>
          <w:lang w:val="fr-FR"/>
        </w:rPr>
        <w:t xml:space="preserve"> </w:t>
      </w:r>
    </w:p>
  </w:footnote>
  <w:footnote w:id="15">
    <w:p w14:paraId="4C53EAA9" w14:textId="542C154F" w:rsidR="008B6471" w:rsidRPr="00B446F1" w:rsidRDefault="008B6471" w:rsidP="00A22C73">
      <w:pPr>
        <w:pStyle w:val="FootnoteText"/>
        <w:ind w:left="284" w:hanging="284"/>
        <w:jc w:val="left"/>
        <w:rPr>
          <w:rFonts w:cs="Arial"/>
          <w:lang w:val="fr-FR"/>
        </w:rPr>
      </w:pPr>
      <w:r w:rsidRPr="00B446F1">
        <w:rPr>
          <w:rStyle w:val="FootnoteReference"/>
          <w:rFonts w:cs="Arial"/>
        </w:rPr>
        <w:footnoteRef/>
      </w:r>
      <w:r w:rsidRPr="00B446F1">
        <w:rPr>
          <w:rFonts w:cs="Arial"/>
          <w:lang w:val="fr-FR"/>
        </w:rPr>
        <w:t xml:space="preserve"> </w:t>
      </w:r>
      <w:r>
        <w:rPr>
          <w:rFonts w:cs="Arial"/>
          <w:lang w:val="fr-FR"/>
        </w:rPr>
        <w:tab/>
      </w:r>
      <w:r w:rsidRPr="00B446F1">
        <w:rPr>
          <w:rFonts w:cs="Arial"/>
          <w:lang w:val="fr-FR"/>
        </w:rPr>
        <w:t xml:space="preserve">Instituto de </w:t>
      </w:r>
      <w:proofErr w:type="spellStart"/>
      <w:r w:rsidRPr="00B446F1">
        <w:rPr>
          <w:rFonts w:cs="Arial"/>
          <w:lang w:val="fr-FR"/>
        </w:rPr>
        <w:t>Mayores</w:t>
      </w:r>
      <w:proofErr w:type="spellEnd"/>
      <w:r w:rsidRPr="00B446F1">
        <w:rPr>
          <w:rFonts w:cs="Arial"/>
          <w:lang w:val="fr-FR"/>
        </w:rPr>
        <w:t xml:space="preserve"> y </w:t>
      </w:r>
      <w:proofErr w:type="spellStart"/>
      <w:r w:rsidRPr="00B446F1">
        <w:rPr>
          <w:rFonts w:cs="Arial"/>
          <w:lang w:val="fr-FR"/>
        </w:rPr>
        <w:t>Servicios</w:t>
      </w:r>
      <w:proofErr w:type="spellEnd"/>
      <w:r w:rsidRPr="00B446F1">
        <w:rPr>
          <w:rFonts w:cs="Arial"/>
          <w:lang w:val="fr-FR"/>
        </w:rPr>
        <w:t xml:space="preserve"> Sociales (</w:t>
      </w:r>
      <w:proofErr w:type="spellStart"/>
      <w:r w:rsidRPr="00B446F1">
        <w:rPr>
          <w:rFonts w:cs="Arial"/>
          <w:lang w:val="fr-FR"/>
        </w:rPr>
        <w:t>Imerso</w:t>
      </w:r>
      <w:proofErr w:type="spellEnd"/>
      <w:r w:rsidRPr="00B446F1">
        <w:rPr>
          <w:rFonts w:cs="Arial"/>
          <w:lang w:val="fr-FR"/>
        </w:rPr>
        <w:t xml:space="preserve">), </w:t>
      </w:r>
      <w:proofErr w:type="spellStart"/>
      <w:r w:rsidRPr="00B446F1">
        <w:rPr>
          <w:rFonts w:cs="Arial"/>
          <w:lang w:val="fr-FR"/>
        </w:rPr>
        <w:t>Información</w:t>
      </w:r>
      <w:proofErr w:type="spellEnd"/>
      <w:r w:rsidRPr="00B446F1">
        <w:rPr>
          <w:rFonts w:cs="Arial"/>
          <w:lang w:val="fr-FR"/>
        </w:rPr>
        <w:t xml:space="preserve"> </w:t>
      </w:r>
      <w:proofErr w:type="spellStart"/>
      <w:r w:rsidRPr="00B446F1">
        <w:rPr>
          <w:rFonts w:cs="Arial"/>
          <w:lang w:val="fr-FR"/>
        </w:rPr>
        <w:t>Estadística</w:t>
      </w:r>
      <w:proofErr w:type="spellEnd"/>
      <w:r w:rsidRPr="00B446F1">
        <w:rPr>
          <w:rFonts w:cs="Arial"/>
          <w:lang w:val="fr-FR"/>
        </w:rPr>
        <w:t xml:space="preserve"> </w:t>
      </w:r>
      <w:proofErr w:type="spellStart"/>
      <w:r w:rsidRPr="00B446F1">
        <w:rPr>
          <w:rFonts w:cs="Arial"/>
          <w:lang w:val="fr-FR"/>
        </w:rPr>
        <w:t>del</w:t>
      </w:r>
      <w:proofErr w:type="spellEnd"/>
      <w:r w:rsidRPr="00B446F1">
        <w:rPr>
          <w:rFonts w:cs="Arial"/>
          <w:lang w:val="fr-FR"/>
        </w:rPr>
        <w:t xml:space="preserve"> </w:t>
      </w:r>
      <w:proofErr w:type="spellStart"/>
      <w:r w:rsidRPr="00B446F1">
        <w:rPr>
          <w:rFonts w:cs="Arial"/>
          <w:lang w:val="fr-FR"/>
        </w:rPr>
        <w:t>Sistema</w:t>
      </w:r>
      <w:proofErr w:type="spellEnd"/>
      <w:r w:rsidRPr="00B446F1">
        <w:rPr>
          <w:rFonts w:cs="Arial"/>
          <w:lang w:val="fr-FR"/>
        </w:rPr>
        <w:t xml:space="preserve"> para la </w:t>
      </w:r>
      <w:proofErr w:type="spellStart"/>
      <w:r w:rsidRPr="00B446F1">
        <w:rPr>
          <w:rFonts w:cs="Arial"/>
          <w:lang w:val="fr-FR"/>
        </w:rPr>
        <w:t>Autonomía</w:t>
      </w:r>
      <w:proofErr w:type="spellEnd"/>
      <w:r w:rsidRPr="00B446F1">
        <w:rPr>
          <w:rFonts w:cs="Arial"/>
          <w:lang w:val="fr-FR"/>
        </w:rPr>
        <w:t xml:space="preserve"> y </w:t>
      </w:r>
      <w:proofErr w:type="spellStart"/>
      <w:r w:rsidRPr="00B446F1">
        <w:rPr>
          <w:rFonts w:cs="Arial"/>
          <w:lang w:val="fr-FR"/>
        </w:rPr>
        <w:t>Atención</w:t>
      </w:r>
      <w:proofErr w:type="spellEnd"/>
      <w:r w:rsidRPr="00B446F1">
        <w:rPr>
          <w:rFonts w:cs="Arial"/>
          <w:lang w:val="fr-FR"/>
        </w:rPr>
        <w:t xml:space="preserve"> a la </w:t>
      </w:r>
      <w:proofErr w:type="spellStart"/>
      <w:r w:rsidRPr="00B446F1">
        <w:rPr>
          <w:rFonts w:cs="Arial"/>
          <w:lang w:val="fr-FR"/>
        </w:rPr>
        <w:t>Dependencia</w:t>
      </w:r>
      <w:proofErr w:type="spellEnd"/>
      <w:r w:rsidRPr="00B446F1">
        <w:rPr>
          <w:rFonts w:cs="Arial"/>
          <w:lang w:val="fr-FR"/>
        </w:rPr>
        <w:t xml:space="preserve">, </w:t>
      </w:r>
      <w:proofErr w:type="spellStart"/>
      <w:r w:rsidRPr="00B446F1">
        <w:rPr>
          <w:rFonts w:cs="Arial"/>
          <w:lang w:val="fr-FR"/>
        </w:rPr>
        <w:t>Situación</w:t>
      </w:r>
      <w:proofErr w:type="spellEnd"/>
      <w:r w:rsidRPr="00B446F1">
        <w:rPr>
          <w:rFonts w:cs="Arial"/>
          <w:lang w:val="fr-FR"/>
        </w:rPr>
        <w:t xml:space="preserve"> a 1 de </w:t>
      </w:r>
      <w:proofErr w:type="spellStart"/>
      <w:r w:rsidRPr="00B446F1">
        <w:rPr>
          <w:rFonts w:cs="Arial"/>
          <w:lang w:val="fr-FR"/>
        </w:rPr>
        <w:t>diciembre</w:t>
      </w:r>
      <w:proofErr w:type="spellEnd"/>
      <w:r w:rsidRPr="00B446F1">
        <w:rPr>
          <w:rFonts w:cs="Arial"/>
          <w:lang w:val="fr-FR"/>
        </w:rPr>
        <w:t xml:space="preserve"> de 2017: </w:t>
      </w:r>
      <w:hyperlink r:id="rId15" w:history="1">
        <w:r w:rsidRPr="00B446F1">
          <w:rPr>
            <w:rStyle w:val="Hyperlink"/>
            <w:rFonts w:cs="Arial"/>
            <w:lang w:val="fr-FR"/>
          </w:rPr>
          <w:t>http://www.imserso.es/InterPresent2/groups/imserso/documents/binario/estsisaad20171231.pdf</w:t>
        </w:r>
      </w:hyperlink>
      <w:r w:rsidRPr="00B446F1">
        <w:rPr>
          <w:rFonts w:cs="Arial"/>
          <w:lang w:val="es-ES"/>
        </w:rPr>
        <w:t>.</w:t>
      </w:r>
      <w:r w:rsidRPr="00B446F1">
        <w:rPr>
          <w:rFonts w:cs="Arial"/>
          <w:lang w:val="fr-FR"/>
        </w:rPr>
        <w:t xml:space="preserve"> </w:t>
      </w:r>
    </w:p>
  </w:footnote>
  <w:footnote w:id="16">
    <w:p w14:paraId="2F0F7D2A" w14:textId="3A3A5FA0" w:rsidR="008B6471" w:rsidRPr="00B446F1" w:rsidRDefault="008B6471" w:rsidP="00A22C73">
      <w:pPr>
        <w:pStyle w:val="FootnoteText"/>
        <w:ind w:left="284" w:hanging="284"/>
        <w:jc w:val="left"/>
        <w:rPr>
          <w:rFonts w:cs="Arial"/>
          <w:lang w:val="fr-FR"/>
        </w:rPr>
      </w:pPr>
      <w:r w:rsidRPr="00B446F1">
        <w:rPr>
          <w:rStyle w:val="FootnoteReference"/>
          <w:rFonts w:cs="Arial"/>
        </w:rPr>
        <w:footnoteRef/>
      </w:r>
      <w:r w:rsidRPr="00B446F1">
        <w:rPr>
          <w:rFonts w:cs="Arial"/>
          <w:lang w:val="fr-FR"/>
        </w:rPr>
        <w:t xml:space="preserve"> </w:t>
      </w:r>
      <w:r>
        <w:rPr>
          <w:rFonts w:cs="Arial"/>
          <w:lang w:val="fr-FR"/>
        </w:rPr>
        <w:tab/>
      </w:r>
      <w:r w:rsidRPr="00B446F1">
        <w:rPr>
          <w:rFonts w:cs="Arial"/>
          <w:lang w:val="fr-FR"/>
        </w:rPr>
        <w:t xml:space="preserve">Instituto de </w:t>
      </w:r>
      <w:proofErr w:type="spellStart"/>
      <w:r w:rsidRPr="00B446F1">
        <w:rPr>
          <w:rFonts w:cs="Arial"/>
          <w:lang w:val="fr-FR"/>
        </w:rPr>
        <w:t>Mayores</w:t>
      </w:r>
      <w:proofErr w:type="spellEnd"/>
      <w:r w:rsidRPr="00B446F1">
        <w:rPr>
          <w:rFonts w:cs="Arial"/>
          <w:lang w:val="fr-FR"/>
        </w:rPr>
        <w:t xml:space="preserve"> y </w:t>
      </w:r>
      <w:proofErr w:type="spellStart"/>
      <w:r w:rsidRPr="00B446F1">
        <w:rPr>
          <w:rFonts w:cs="Arial"/>
          <w:lang w:val="fr-FR"/>
        </w:rPr>
        <w:t>Servicios</w:t>
      </w:r>
      <w:proofErr w:type="spellEnd"/>
      <w:r w:rsidRPr="00B446F1">
        <w:rPr>
          <w:rFonts w:cs="Arial"/>
          <w:lang w:val="fr-FR"/>
        </w:rPr>
        <w:t xml:space="preserve"> Sociales (</w:t>
      </w:r>
      <w:proofErr w:type="spellStart"/>
      <w:r w:rsidRPr="00B446F1">
        <w:rPr>
          <w:rFonts w:cs="Arial"/>
          <w:lang w:val="fr-FR"/>
        </w:rPr>
        <w:t>Imerso</w:t>
      </w:r>
      <w:proofErr w:type="spellEnd"/>
      <w:r w:rsidRPr="00B446F1">
        <w:rPr>
          <w:rFonts w:cs="Arial"/>
          <w:lang w:val="fr-FR"/>
        </w:rPr>
        <w:t xml:space="preserve">), </w:t>
      </w:r>
      <w:proofErr w:type="spellStart"/>
      <w:r w:rsidRPr="00B446F1">
        <w:rPr>
          <w:rFonts w:cs="Arial"/>
          <w:lang w:val="fr-FR"/>
        </w:rPr>
        <w:t>Información</w:t>
      </w:r>
      <w:proofErr w:type="spellEnd"/>
      <w:r w:rsidRPr="00B446F1">
        <w:rPr>
          <w:rFonts w:cs="Arial"/>
          <w:lang w:val="fr-FR"/>
        </w:rPr>
        <w:t xml:space="preserve"> </w:t>
      </w:r>
      <w:proofErr w:type="spellStart"/>
      <w:r w:rsidRPr="00B446F1">
        <w:rPr>
          <w:rFonts w:cs="Arial"/>
          <w:lang w:val="fr-FR"/>
        </w:rPr>
        <w:t>Estadística</w:t>
      </w:r>
      <w:proofErr w:type="spellEnd"/>
      <w:r w:rsidRPr="00B446F1">
        <w:rPr>
          <w:rFonts w:cs="Arial"/>
          <w:lang w:val="fr-FR"/>
        </w:rPr>
        <w:t xml:space="preserve"> </w:t>
      </w:r>
      <w:proofErr w:type="spellStart"/>
      <w:r w:rsidRPr="00B446F1">
        <w:rPr>
          <w:rFonts w:cs="Arial"/>
          <w:lang w:val="fr-FR"/>
        </w:rPr>
        <w:t>del</w:t>
      </w:r>
      <w:proofErr w:type="spellEnd"/>
      <w:r w:rsidRPr="00B446F1">
        <w:rPr>
          <w:rFonts w:cs="Arial"/>
          <w:lang w:val="fr-FR"/>
        </w:rPr>
        <w:t xml:space="preserve"> </w:t>
      </w:r>
      <w:proofErr w:type="spellStart"/>
      <w:r w:rsidRPr="00B446F1">
        <w:rPr>
          <w:rFonts w:cs="Arial"/>
          <w:lang w:val="fr-FR"/>
        </w:rPr>
        <w:t>Sistema</w:t>
      </w:r>
      <w:proofErr w:type="spellEnd"/>
      <w:r w:rsidRPr="00B446F1">
        <w:rPr>
          <w:rFonts w:cs="Arial"/>
          <w:lang w:val="fr-FR"/>
        </w:rPr>
        <w:t xml:space="preserve"> para la </w:t>
      </w:r>
      <w:proofErr w:type="spellStart"/>
      <w:r w:rsidRPr="00B446F1">
        <w:rPr>
          <w:rFonts w:cs="Arial"/>
          <w:lang w:val="fr-FR"/>
        </w:rPr>
        <w:t>Autonomía</w:t>
      </w:r>
      <w:proofErr w:type="spellEnd"/>
      <w:r w:rsidRPr="00B446F1">
        <w:rPr>
          <w:rFonts w:cs="Arial"/>
          <w:lang w:val="fr-FR"/>
        </w:rPr>
        <w:t xml:space="preserve"> y </w:t>
      </w:r>
      <w:proofErr w:type="spellStart"/>
      <w:r w:rsidRPr="00B446F1">
        <w:rPr>
          <w:rFonts w:cs="Arial"/>
          <w:lang w:val="fr-FR"/>
        </w:rPr>
        <w:t>Atención</w:t>
      </w:r>
      <w:proofErr w:type="spellEnd"/>
      <w:r w:rsidRPr="00B446F1">
        <w:rPr>
          <w:rFonts w:cs="Arial"/>
          <w:lang w:val="fr-FR"/>
        </w:rPr>
        <w:t xml:space="preserve"> a la </w:t>
      </w:r>
      <w:proofErr w:type="spellStart"/>
      <w:r w:rsidRPr="00B446F1">
        <w:rPr>
          <w:rFonts w:cs="Arial"/>
          <w:lang w:val="fr-FR"/>
        </w:rPr>
        <w:t>Dependencia</w:t>
      </w:r>
      <w:proofErr w:type="spellEnd"/>
      <w:r w:rsidRPr="00B446F1">
        <w:rPr>
          <w:rFonts w:cs="Arial"/>
          <w:lang w:val="fr-FR"/>
        </w:rPr>
        <w:t xml:space="preserve">, </w:t>
      </w:r>
      <w:proofErr w:type="spellStart"/>
      <w:r w:rsidRPr="00B446F1">
        <w:rPr>
          <w:rFonts w:cs="Arial"/>
          <w:lang w:val="fr-FR"/>
        </w:rPr>
        <w:t>Situación</w:t>
      </w:r>
      <w:proofErr w:type="spellEnd"/>
      <w:r w:rsidRPr="00B446F1">
        <w:rPr>
          <w:rFonts w:cs="Arial"/>
          <w:lang w:val="fr-FR"/>
        </w:rPr>
        <w:t xml:space="preserve"> a 1 de </w:t>
      </w:r>
      <w:proofErr w:type="spellStart"/>
      <w:r w:rsidRPr="00B446F1">
        <w:rPr>
          <w:rFonts w:cs="Arial"/>
          <w:lang w:val="fr-FR"/>
        </w:rPr>
        <w:t>diciembre</w:t>
      </w:r>
      <w:proofErr w:type="spellEnd"/>
      <w:r w:rsidRPr="00B446F1">
        <w:rPr>
          <w:rFonts w:cs="Arial"/>
          <w:lang w:val="fr-FR"/>
        </w:rPr>
        <w:t xml:space="preserve"> de 2018: </w:t>
      </w:r>
      <w:hyperlink r:id="rId16" w:history="1">
        <w:r w:rsidRPr="00B446F1">
          <w:rPr>
            <w:rStyle w:val="Hyperlink"/>
            <w:rFonts w:cs="Arial"/>
            <w:lang w:val="fr-FR"/>
          </w:rPr>
          <w:t>http://www.imserso.es/InterPresent2/groups/imserso/documents/binario/estsisaad20181231.pdf</w:t>
        </w:r>
      </w:hyperlink>
      <w:r w:rsidRPr="00B446F1">
        <w:rPr>
          <w:rFonts w:cs="Arial"/>
          <w:lang w:val="es-ES"/>
        </w:rPr>
        <w:t>.</w:t>
      </w:r>
      <w:r w:rsidRPr="00B446F1">
        <w:rPr>
          <w:rFonts w:cs="Arial"/>
          <w:lang w:val="fr-FR"/>
        </w:rPr>
        <w:t xml:space="preserve"> </w:t>
      </w:r>
    </w:p>
  </w:footnote>
  <w:footnote w:id="17">
    <w:p w14:paraId="6051A0B7" w14:textId="4B0F576F" w:rsidR="008B6471" w:rsidRPr="00B446F1" w:rsidRDefault="008B6471" w:rsidP="00A22C73">
      <w:pPr>
        <w:ind w:left="284" w:hanging="284"/>
        <w:jc w:val="left"/>
        <w:rPr>
          <w:rFonts w:cs="Arial"/>
          <w:sz w:val="20"/>
          <w:lang w:val="en-US"/>
        </w:rPr>
      </w:pPr>
      <w:r w:rsidRPr="00B446F1">
        <w:rPr>
          <w:rStyle w:val="FootnoteReference"/>
          <w:rFonts w:cs="Arial"/>
        </w:rPr>
        <w:footnoteRef/>
      </w:r>
      <w:r w:rsidRPr="00B446F1">
        <w:rPr>
          <w:rFonts w:cs="Arial"/>
          <w:sz w:val="20"/>
          <w:lang w:val="es-ES"/>
        </w:rPr>
        <w:t xml:space="preserve"> </w:t>
      </w:r>
      <w:r>
        <w:rPr>
          <w:rFonts w:cs="Arial"/>
          <w:sz w:val="20"/>
          <w:lang w:val="es-ES"/>
        </w:rPr>
        <w:tab/>
      </w:r>
      <w:r w:rsidRPr="00B446F1">
        <w:rPr>
          <w:rFonts w:cs="Arial"/>
          <w:sz w:val="20"/>
          <w:lang w:val="es-ES"/>
        </w:rPr>
        <w:t xml:space="preserve">Alonso Parreño, M. A. (2015). El derecho a la vida independiente y su realización en España: ¿Un horizonte lejano para las personas con </w:t>
      </w:r>
      <w:proofErr w:type="gramStart"/>
      <w:r w:rsidRPr="00B446F1">
        <w:rPr>
          <w:rFonts w:cs="Arial"/>
          <w:sz w:val="20"/>
          <w:lang w:val="es-ES"/>
        </w:rPr>
        <w:t>discapacidad?.</w:t>
      </w:r>
      <w:proofErr w:type="gramEnd"/>
      <w:r w:rsidRPr="00B446F1">
        <w:rPr>
          <w:rFonts w:cs="Arial"/>
          <w:sz w:val="20"/>
          <w:lang w:val="es-ES"/>
        </w:rPr>
        <w:t xml:space="preserve"> </w:t>
      </w:r>
      <w:r w:rsidRPr="00B446F1">
        <w:rPr>
          <w:rFonts w:cs="Arial"/>
          <w:sz w:val="20"/>
        </w:rPr>
        <w:t xml:space="preserve">Available at: </w:t>
      </w:r>
      <w:hyperlink r:id="rId17" w:history="1">
        <w:r w:rsidRPr="00B446F1">
          <w:rPr>
            <w:rStyle w:val="Hyperlink"/>
            <w:rFonts w:eastAsiaTheme="majorEastAsia" w:cs="Arial"/>
            <w:sz w:val="20"/>
            <w:lang w:val="en-US"/>
          </w:rPr>
          <w:t>http://semanal.cermi.es/noticia/opinion-derecho-vida-independiente-horizonte-lejano-maria-jose-alonso-parreno.aspx</w:t>
        </w:r>
      </w:hyperlink>
      <w:r w:rsidRPr="00B446F1">
        <w:rPr>
          <w:rFonts w:cs="Arial"/>
          <w:sz w:val="20"/>
          <w:lang w:val="es-ES"/>
        </w:rPr>
        <w:t>.</w:t>
      </w:r>
    </w:p>
  </w:footnote>
  <w:footnote w:id="18">
    <w:p w14:paraId="368F7169" w14:textId="269A2A32" w:rsidR="008B6471" w:rsidRPr="00B446F1" w:rsidRDefault="008B6471" w:rsidP="00A22C73">
      <w:pPr>
        <w:ind w:left="284" w:hanging="284"/>
        <w:jc w:val="left"/>
        <w:rPr>
          <w:rFonts w:cs="Arial"/>
          <w:sz w:val="20"/>
          <w:lang w:val="en-US"/>
        </w:rPr>
      </w:pPr>
      <w:r w:rsidRPr="00B446F1">
        <w:rPr>
          <w:rStyle w:val="FootnoteReference"/>
          <w:rFonts w:cs="Arial"/>
        </w:rPr>
        <w:footnoteRef/>
      </w:r>
      <w:r w:rsidRPr="00B446F1">
        <w:rPr>
          <w:rFonts w:cs="Arial"/>
          <w:sz w:val="20"/>
          <w:lang w:val="es-ES"/>
        </w:rPr>
        <w:t xml:space="preserve"> </w:t>
      </w:r>
      <w:r>
        <w:rPr>
          <w:rFonts w:cs="Arial"/>
          <w:sz w:val="20"/>
          <w:lang w:val="es-ES"/>
        </w:rPr>
        <w:tab/>
      </w:r>
      <w:r w:rsidRPr="00B446F1">
        <w:rPr>
          <w:rFonts w:cs="Arial"/>
          <w:sz w:val="20"/>
          <w:lang w:val="es-ES"/>
        </w:rPr>
        <w:t xml:space="preserve">Alonso Parreño, M. A. (2015). El derecho a la vida independiente y su realización en España: ¿Un horizonte lejano para las personas con </w:t>
      </w:r>
      <w:proofErr w:type="gramStart"/>
      <w:r w:rsidRPr="00B446F1">
        <w:rPr>
          <w:rFonts w:cs="Arial"/>
          <w:sz w:val="20"/>
          <w:lang w:val="es-ES"/>
        </w:rPr>
        <w:t>discapacidad?.</w:t>
      </w:r>
      <w:proofErr w:type="gramEnd"/>
      <w:r w:rsidRPr="00B446F1">
        <w:rPr>
          <w:rFonts w:cs="Arial"/>
          <w:sz w:val="20"/>
          <w:lang w:val="es-ES"/>
        </w:rPr>
        <w:t xml:space="preserve"> </w:t>
      </w:r>
      <w:r w:rsidRPr="00B446F1">
        <w:rPr>
          <w:rFonts w:cs="Arial"/>
          <w:sz w:val="20"/>
        </w:rPr>
        <w:t xml:space="preserve">Available at: </w:t>
      </w:r>
      <w:hyperlink r:id="rId18" w:history="1">
        <w:r w:rsidRPr="00B446F1">
          <w:rPr>
            <w:rStyle w:val="Hyperlink"/>
            <w:rFonts w:eastAsiaTheme="majorEastAsia" w:cs="Arial"/>
            <w:sz w:val="20"/>
            <w:lang w:val="en-US"/>
          </w:rPr>
          <w:t>http://semanal.cermi.es/noticia/opinion-derecho-vida-independiente-horizonte-lejano-maria-jose-alonso-parreno.aspx</w:t>
        </w:r>
      </w:hyperlink>
      <w:r w:rsidRPr="00B446F1">
        <w:rPr>
          <w:rFonts w:cs="Arial"/>
          <w:sz w:val="20"/>
          <w:lang w:val="es-ES"/>
        </w:rPr>
        <w:t>.</w:t>
      </w:r>
    </w:p>
  </w:footnote>
  <w:footnote w:id="19">
    <w:p w14:paraId="681C9512" w14:textId="7495EEDB" w:rsidR="008B6471" w:rsidRPr="00B446F1" w:rsidRDefault="008B6471" w:rsidP="00A22C73">
      <w:pPr>
        <w:ind w:left="284" w:hanging="284"/>
        <w:jc w:val="left"/>
        <w:rPr>
          <w:rFonts w:cs="Arial"/>
          <w:sz w:val="20"/>
          <w:lang w:val="en-US"/>
        </w:rPr>
      </w:pPr>
      <w:r w:rsidRPr="00B446F1">
        <w:rPr>
          <w:rStyle w:val="FootnoteReference"/>
          <w:rFonts w:cs="Arial"/>
        </w:rPr>
        <w:footnoteRef/>
      </w:r>
      <w:r w:rsidRPr="00B446F1">
        <w:rPr>
          <w:rFonts w:cs="Arial"/>
          <w:sz w:val="20"/>
          <w:lang w:val="en-US"/>
        </w:rPr>
        <w:t xml:space="preserve"> </w:t>
      </w:r>
      <w:r>
        <w:rPr>
          <w:rFonts w:cs="Arial"/>
          <w:sz w:val="20"/>
          <w:lang w:val="en-US"/>
        </w:rPr>
        <w:tab/>
      </w:r>
      <w:r w:rsidRPr="00B446F1">
        <w:rPr>
          <w:rFonts w:cs="Arial"/>
          <w:sz w:val="20"/>
          <w:lang w:val="en-US"/>
        </w:rPr>
        <w:t xml:space="preserve">DOTCOM: </w:t>
      </w:r>
      <w:proofErr w:type="gramStart"/>
      <w:r w:rsidRPr="00B446F1">
        <w:rPr>
          <w:rFonts w:cs="Arial"/>
          <w:sz w:val="20"/>
          <w:lang w:val="en-US"/>
        </w:rPr>
        <w:t>the</w:t>
      </w:r>
      <w:proofErr w:type="gramEnd"/>
      <w:r w:rsidRPr="00B446F1">
        <w:rPr>
          <w:rFonts w:cs="Arial"/>
          <w:sz w:val="20"/>
          <w:lang w:val="en-US"/>
        </w:rPr>
        <w:t xml:space="preserve"> Disability Online Tool of the Commission (Spain). Available at: </w:t>
      </w:r>
      <w:hyperlink r:id="rId19" w:history="1">
        <w:r w:rsidRPr="00C202A6">
          <w:rPr>
            <w:rStyle w:val="Hyperlink"/>
            <w:rFonts w:eastAsiaTheme="majorEastAsia" w:cs="Arial"/>
            <w:sz w:val="20"/>
            <w:lang w:val="en-US"/>
          </w:rPr>
          <w:t>https://www.disability</w:t>
        </w:r>
        <w:r w:rsidRPr="00C202A6">
          <w:rPr>
            <w:rStyle w:val="Hyperlink"/>
            <w:rFonts w:eastAsiaTheme="majorEastAsia" w:cs="Arial"/>
            <w:sz w:val="20"/>
            <w:lang w:val="en-US"/>
          </w:rPr>
          <w:noBreakHyphen/>
          <w:t>europe.net/dotcom?l%5B%5D=31&amp;t%5B%5D=23&amp;t%5B%5D=24&amp;t%5B%5D=25&amp;t%5B%5D=26&amp;t%5B%5D=27&amp;t%5B%5D=28&amp;t%5B%5D=29&amp;t%5B%5D=30&amp;view_type=list</w:t>
        </w:r>
      </w:hyperlink>
      <w:r w:rsidRPr="00B446F1">
        <w:rPr>
          <w:rFonts w:cs="Arial"/>
          <w:sz w:val="20"/>
          <w:lang w:val="es-ES"/>
        </w:rPr>
        <w:t>.</w:t>
      </w:r>
    </w:p>
  </w:footnote>
  <w:footnote w:id="20">
    <w:p w14:paraId="28432180" w14:textId="3C380576" w:rsidR="008B6471" w:rsidRPr="00B446F1" w:rsidRDefault="008B6471" w:rsidP="00A22C73">
      <w:pPr>
        <w:ind w:left="284" w:hanging="284"/>
        <w:jc w:val="left"/>
        <w:rPr>
          <w:rFonts w:cs="Arial"/>
          <w:sz w:val="20"/>
          <w:lang w:val="en-US"/>
        </w:rPr>
      </w:pPr>
      <w:r w:rsidRPr="00B446F1">
        <w:rPr>
          <w:rStyle w:val="FootnoteReference"/>
          <w:rFonts w:cs="Arial"/>
        </w:rPr>
        <w:footnoteRef/>
      </w:r>
      <w:r w:rsidRPr="00B446F1">
        <w:rPr>
          <w:rFonts w:cs="Arial"/>
          <w:sz w:val="20"/>
        </w:rPr>
        <w:t xml:space="preserve"> </w:t>
      </w:r>
      <w:r>
        <w:rPr>
          <w:rFonts w:cs="Arial"/>
          <w:sz w:val="20"/>
        </w:rPr>
        <w:tab/>
      </w:r>
      <w:r w:rsidRPr="00B446F1">
        <w:rPr>
          <w:rFonts w:cs="Arial"/>
          <w:sz w:val="20"/>
          <w:lang w:val="en-US"/>
        </w:rPr>
        <w:t xml:space="preserve">FRA (2017). Summary overview of types and characteristics of institutional and community-based services for persons with disabilities available across the EU November 2017. Available at: </w:t>
      </w:r>
      <w:hyperlink r:id="rId20" w:history="1">
        <w:r w:rsidRPr="00C202A6">
          <w:rPr>
            <w:rStyle w:val="Hyperlink"/>
            <w:rFonts w:eastAsiaTheme="majorEastAsia" w:cs="Arial"/>
            <w:sz w:val="20"/>
            <w:lang w:val="en-US"/>
          </w:rPr>
          <w:t>https://fra.europa.eu/sites/default/files/fra_uploads/2017-10-independent-living-mapping-paper_en.pdf</w:t>
        </w:r>
      </w:hyperlink>
      <w:r w:rsidRPr="00B446F1">
        <w:rPr>
          <w:rFonts w:cs="Arial"/>
          <w:sz w:val="20"/>
          <w:lang w:val="es-ES"/>
        </w:rPr>
        <w:t>.</w:t>
      </w:r>
    </w:p>
  </w:footnote>
  <w:footnote w:id="21">
    <w:p w14:paraId="7E4CF6D2" w14:textId="4C3662D9" w:rsidR="008B6471" w:rsidRPr="00B446F1" w:rsidRDefault="008B6471" w:rsidP="00A22C73">
      <w:pPr>
        <w:ind w:left="284" w:hanging="284"/>
        <w:jc w:val="left"/>
        <w:rPr>
          <w:rFonts w:cs="Arial"/>
          <w:sz w:val="20"/>
          <w:lang w:val="en-US"/>
        </w:rPr>
      </w:pPr>
      <w:r w:rsidRPr="00B446F1">
        <w:rPr>
          <w:rStyle w:val="FootnoteReference"/>
          <w:rFonts w:cs="Arial"/>
        </w:rPr>
        <w:footnoteRef/>
      </w:r>
      <w:r w:rsidRPr="00B446F1">
        <w:rPr>
          <w:rFonts w:cs="Arial"/>
          <w:sz w:val="20"/>
          <w:lang w:val="en-US"/>
        </w:rPr>
        <w:t xml:space="preserve"> </w:t>
      </w:r>
      <w:r>
        <w:rPr>
          <w:rFonts w:cs="Arial"/>
          <w:sz w:val="20"/>
          <w:lang w:val="en-US"/>
        </w:rPr>
        <w:tab/>
      </w:r>
      <w:r w:rsidRPr="00B446F1">
        <w:rPr>
          <w:rFonts w:cs="Arial"/>
          <w:sz w:val="20"/>
          <w:lang w:val="en-US"/>
        </w:rPr>
        <w:t xml:space="preserve">FRA (2017). Summary overview of types and characteristics of institutional and community-based services for persons with disabilities available across the EU November 2017. Available at: </w:t>
      </w:r>
      <w:hyperlink r:id="rId21" w:history="1">
        <w:r w:rsidRPr="00B446F1">
          <w:rPr>
            <w:rStyle w:val="Hyperlink"/>
            <w:rFonts w:eastAsiaTheme="majorEastAsia" w:cs="Arial"/>
            <w:sz w:val="20"/>
            <w:lang w:val="en-US"/>
          </w:rPr>
          <w:t>https://fra.europa.eu/sites/default/files/fra_uploads/2017-10-independent-living-mapping-paper_en.pdf</w:t>
        </w:r>
      </w:hyperlink>
      <w:r w:rsidRPr="00B446F1">
        <w:rPr>
          <w:rFonts w:cs="Arial"/>
          <w:sz w:val="20"/>
          <w:lang w:val="es-ES"/>
        </w:rPr>
        <w:t>.</w:t>
      </w:r>
    </w:p>
  </w:footnote>
  <w:footnote w:id="22">
    <w:p w14:paraId="1C083B97" w14:textId="5D7AF6A6" w:rsidR="008B6471" w:rsidRPr="00B446F1" w:rsidRDefault="008B6471" w:rsidP="00A22C73">
      <w:pPr>
        <w:ind w:left="284" w:hanging="284"/>
        <w:jc w:val="left"/>
        <w:rPr>
          <w:rFonts w:cs="Arial"/>
          <w:sz w:val="20"/>
          <w:lang w:val="en-US"/>
        </w:rPr>
      </w:pPr>
      <w:r w:rsidRPr="00B446F1">
        <w:rPr>
          <w:rStyle w:val="FootnoteReference"/>
          <w:rFonts w:cs="Arial"/>
        </w:rPr>
        <w:footnoteRef/>
      </w:r>
      <w:r w:rsidRPr="00B446F1">
        <w:rPr>
          <w:rFonts w:cs="Arial"/>
          <w:sz w:val="20"/>
          <w:lang w:val="en-US"/>
        </w:rPr>
        <w:t xml:space="preserve"> </w:t>
      </w:r>
      <w:r>
        <w:rPr>
          <w:rFonts w:cs="Arial"/>
          <w:sz w:val="20"/>
          <w:lang w:val="en-US"/>
        </w:rPr>
        <w:tab/>
      </w:r>
      <w:r w:rsidRPr="00B446F1">
        <w:rPr>
          <w:rFonts w:cs="Arial"/>
          <w:sz w:val="20"/>
          <w:lang w:val="en-US"/>
        </w:rPr>
        <w:t xml:space="preserve">FRA (2017). Summary overview of types and characteristics of institutional and community-based services for persons with disabilities available across the EU November 2017. Available at: </w:t>
      </w:r>
      <w:hyperlink r:id="rId22" w:history="1">
        <w:r w:rsidRPr="00B446F1">
          <w:rPr>
            <w:rStyle w:val="Hyperlink"/>
            <w:rFonts w:eastAsiaTheme="majorEastAsia" w:cs="Arial"/>
            <w:sz w:val="20"/>
            <w:lang w:val="en-US"/>
          </w:rPr>
          <w:t>https://fra.europa.eu/sites/default/files/fra_uploads/2017-10-independent-living-mapping-paper_en.pdf</w:t>
        </w:r>
      </w:hyperlink>
      <w:r w:rsidRPr="00B446F1">
        <w:rPr>
          <w:rFonts w:cs="Arial"/>
          <w:sz w:val="20"/>
          <w:lang w:val="es-ES"/>
        </w:rPr>
        <w:t>.</w:t>
      </w:r>
    </w:p>
  </w:footnote>
  <w:footnote w:id="23">
    <w:p w14:paraId="2B8FBD1D" w14:textId="305E2039" w:rsidR="008B6471" w:rsidRPr="00B446F1" w:rsidRDefault="008B6471" w:rsidP="00A22C73">
      <w:pPr>
        <w:pStyle w:val="FootnoteText"/>
        <w:ind w:left="284" w:hanging="284"/>
        <w:jc w:val="left"/>
        <w:rPr>
          <w:rFonts w:cs="Arial"/>
          <w:lang w:val="en-US"/>
        </w:rPr>
      </w:pPr>
      <w:r w:rsidRPr="00B446F1">
        <w:rPr>
          <w:rStyle w:val="FootnoteReference"/>
          <w:rFonts w:cs="Arial"/>
        </w:rPr>
        <w:footnoteRef/>
      </w:r>
      <w:r w:rsidRPr="00B446F1">
        <w:rPr>
          <w:rFonts w:cs="Arial"/>
          <w:lang w:val="en-US"/>
        </w:rPr>
        <w:t xml:space="preserve"> </w:t>
      </w:r>
      <w:r>
        <w:rPr>
          <w:rFonts w:cs="Arial"/>
          <w:lang w:val="en-US"/>
        </w:rPr>
        <w:tab/>
      </w:r>
      <w:hyperlink r:id="rId23" w:history="1">
        <w:r w:rsidRPr="00C202A6">
          <w:rPr>
            <w:rStyle w:val="Hyperlink"/>
            <w:rFonts w:cs="Arial"/>
            <w:lang w:val="en-US"/>
          </w:rPr>
          <w:t>http://semanal.cermi.es/noticia/opinion-derecho-vida-independiente-horizonte-lejano-maria-jose-alonso-parreno.aspx</w:t>
        </w:r>
      </w:hyperlink>
      <w:r>
        <w:rPr>
          <w:rFonts w:cs="Arial"/>
          <w:lang w:val="en-US"/>
        </w:rPr>
        <w:t xml:space="preserve">. </w:t>
      </w:r>
    </w:p>
  </w:footnote>
  <w:footnote w:id="24">
    <w:p w14:paraId="4FBEE57F" w14:textId="6A7E8D62" w:rsidR="008B6471" w:rsidRPr="00B446F1" w:rsidRDefault="008B6471" w:rsidP="00A22C73">
      <w:pPr>
        <w:ind w:left="284" w:hanging="284"/>
        <w:jc w:val="left"/>
        <w:rPr>
          <w:rFonts w:cs="Arial"/>
          <w:sz w:val="20"/>
        </w:rPr>
      </w:pPr>
      <w:r w:rsidRPr="00B446F1">
        <w:rPr>
          <w:rStyle w:val="FootnoteReference"/>
          <w:rFonts w:cs="Arial"/>
        </w:rPr>
        <w:footnoteRef/>
      </w:r>
      <w:r w:rsidRPr="00B446F1">
        <w:rPr>
          <w:rFonts w:cs="Arial"/>
          <w:sz w:val="20"/>
        </w:rPr>
        <w:t xml:space="preserve"> </w:t>
      </w:r>
      <w:r>
        <w:rPr>
          <w:rFonts w:cs="Arial"/>
          <w:sz w:val="20"/>
        </w:rPr>
        <w:tab/>
      </w:r>
      <w:r w:rsidRPr="00B446F1">
        <w:rPr>
          <w:rFonts w:cs="Arial"/>
          <w:sz w:val="20"/>
          <w:lang w:val="en-US"/>
        </w:rPr>
        <w:t xml:space="preserve">Consideration of reports submitted by States parties under </w:t>
      </w:r>
      <w:r w:rsidR="00337903">
        <w:rPr>
          <w:rFonts w:cs="Arial"/>
          <w:sz w:val="20"/>
          <w:lang w:val="en-US"/>
        </w:rPr>
        <w:t>A</w:t>
      </w:r>
      <w:r w:rsidRPr="00B446F1">
        <w:rPr>
          <w:rFonts w:cs="Arial"/>
          <w:sz w:val="20"/>
          <w:lang w:val="en-US"/>
        </w:rPr>
        <w:t xml:space="preserve">rticle 35 of the Convention. Concluding observations of the Committee on the Rights of Persons with Disabilities (September 2011): </w:t>
      </w:r>
      <w:hyperlink r:id="rId24" w:history="1">
        <w:r w:rsidRPr="00B446F1">
          <w:rPr>
            <w:rStyle w:val="Hyperlink"/>
            <w:rFonts w:cs="Arial"/>
            <w:sz w:val="20"/>
          </w:rPr>
          <w:t>http://docstore.ohchr.org/SelfServices/FilesHandler.ashx?enc=6QkG1d%2FPPRiCAqhKb7yhslxq2MulDp%2FqMKQ6SGOn0%2FNZ5trZrfgNmKdTjE%2FScMKF96xMrtyzhDx7aguCpqdK4xQVGCY502yRGHBFyeVZXNw00SiVNraxD5auFDv%2FVv2m</w:t>
        </w:r>
      </w:hyperlink>
      <w:r w:rsidRPr="00B446F1">
        <w:rPr>
          <w:rFonts w:cs="Arial"/>
          <w:sz w:val="20"/>
          <w:lang w:val="es-ES"/>
        </w:rPr>
        <w:t>.</w:t>
      </w:r>
      <w:r w:rsidRPr="00B446F1">
        <w:rPr>
          <w:rFonts w:cs="Arial"/>
          <w:sz w:val="20"/>
        </w:rPr>
        <w:t xml:space="preserve"> </w:t>
      </w:r>
    </w:p>
  </w:footnote>
  <w:footnote w:id="25">
    <w:p w14:paraId="330949F0" w14:textId="671056D1" w:rsidR="008B6471" w:rsidRPr="00B446F1" w:rsidRDefault="008B6471" w:rsidP="00A22C73">
      <w:pPr>
        <w:pStyle w:val="FootnoteText"/>
        <w:ind w:left="284" w:hanging="284"/>
        <w:jc w:val="left"/>
        <w:rPr>
          <w:rFonts w:cs="Arial"/>
          <w:lang w:val="es-ES"/>
        </w:rPr>
      </w:pPr>
      <w:r w:rsidRPr="00B446F1">
        <w:rPr>
          <w:rStyle w:val="FootnoteReference"/>
          <w:rFonts w:cs="Arial"/>
        </w:rPr>
        <w:footnoteRef/>
      </w:r>
      <w:r w:rsidRPr="00B446F1">
        <w:rPr>
          <w:rFonts w:cs="Arial"/>
          <w:lang w:val="es-ES"/>
        </w:rPr>
        <w:t xml:space="preserve"> </w:t>
      </w:r>
      <w:r>
        <w:rPr>
          <w:rFonts w:cs="Arial"/>
          <w:lang w:val="es-ES"/>
        </w:rPr>
        <w:tab/>
      </w:r>
      <w:r w:rsidRPr="00B446F1">
        <w:rPr>
          <w:rFonts w:cs="Arial"/>
          <w:lang w:val="es-ES"/>
        </w:rPr>
        <w:t xml:space="preserve">CERMI (2017). Derechos Humanos y Discapacidad. Informe España 2017. </w:t>
      </w:r>
      <w:proofErr w:type="spellStart"/>
      <w:r w:rsidRPr="00B446F1">
        <w:rPr>
          <w:rFonts w:cs="Arial"/>
          <w:lang w:val="es-ES"/>
        </w:rPr>
        <w:t>Available</w:t>
      </w:r>
      <w:proofErr w:type="spellEnd"/>
      <w:r w:rsidRPr="00B446F1">
        <w:rPr>
          <w:rFonts w:cs="Arial"/>
          <w:lang w:val="es-ES"/>
        </w:rPr>
        <w:t xml:space="preserve"> at: </w:t>
      </w:r>
      <w:hyperlink r:id="rId25" w:history="1">
        <w:r w:rsidRPr="00C202A6">
          <w:rPr>
            <w:rStyle w:val="Hyperlink"/>
            <w:rFonts w:cs="Arial"/>
            <w:lang w:val="es-ES"/>
          </w:rPr>
          <w:t>https://www.cermi.es/sites/default/files/docs/colecciones/Informe%202017%201_0.pdf</w:t>
        </w:r>
      </w:hyperlink>
      <w:r>
        <w:rPr>
          <w:rFonts w:cs="Arial"/>
          <w:lang w:val="es-ES"/>
        </w:rPr>
        <w:t xml:space="preserve">. </w:t>
      </w:r>
    </w:p>
  </w:footnote>
  <w:footnote w:id="26">
    <w:p w14:paraId="3EB95B05" w14:textId="34F75732" w:rsidR="008B6471" w:rsidRPr="00B446F1" w:rsidRDefault="008B6471" w:rsidP="00A22C73">
      <w:pPr>
        <w:pStyle w:val="FootnoteText"/>
        <w:ind w:left="284" w:hanging="284"/>
        <w:jc w:val="left"/>
        <w:rPr>
          <w:rFonts w:cs="Arial"/>
          <w:lang w:val="es-ES"/>
        </w:rPr>
      </w:pPr>
      <w:r w:rsidRPr="00B446F1">
        <w:rPr>
          <w:rStyle w:val="FootnoteReference"/>
          <w:rFonts w:cs="Arial"/>
        </w:rPr>
        <w:footnoteRef/>
      </w:r>
      <w:r w:rsidRPr="00B446F1">
        <w:rPr>
          <w:rFonts w:cs="Arial"/>
          <w:lang w:val="es-ES"/>
        </w:rPr>
        <w:t xml:space="preserve"> </w:t>
      </w:r>
      <w:r>
        <w:rPr>
          <w:rFonts w:cs="Arial"/>
          <w:lang w:val="es-ES"/>
        </w:rPr>
        <w:tab/>
      </w:r>
      <w:r w:rsidRPr="00B446F1">
        <w:rPr>
          <w:rFonts w:cs="Arial"/>
          <w:lang w:val="es-ES"/>
        </w:rPr>
        <w:t xml:space="preserve">CERMI (2017). Derechos Humanos y Discapacidad. Informe España 2017. </w:t>
      </w:r>
      <w:proofErr w:type="spellStart"/>
      <w:r w:rsidRPr="00B446F1">
        <w:rPr>
          <w:rFonts w:cs="Arial"/>
          <w:lang w:val="es-ES"/>
        </w:rPr>
        <w:t>Available</w:t>
      </w:r>
      <w:proofErr w:type="spellEnd"/>
      <w:r w:rsidRPr="00B446F1">
        <w:rPr>
          <w:rFonts w:cs="Arial"/>
          <w:lang w:val="es-ES"/>
        </w:rPr>
        <w:t xml:space="preserve"> at: </w:t>
      </w:r>
      <w:hyperlink r:id="rId26" w:history="1">
        <w:r w:rsidRPr="00C202A6">
          <w:rPr>
            <w:rStyle w:val="Hyperlink"/>
            <w:rFonts w:cs="Arial"/>
            <w:lang w:val="es-ES"/>
          </w:rPr>
          <w:t>https://www.cermi.es/sites/default/files/docs/colecciones/Informe%202017%201_0.pdf</w:t>
        </w:r>
      </w:hyperlink>
      <w:r>
        <w:rPr>
          <w:rFonts w:cs="Arial"/>
          <w:lang w:val="es-ES"/>
        </w:rPr>
        <w:t xml:space="preserve">. </w:t>
      </w:r>
    </w:p>
  </w:footnote>
  <w:footnote w:id="27">
    <w:p w14:paraId="1D2C84B9" w14:textId="5E5AD24D" w:rsidR="008B6471" w:rsidRPr="00B446F1" w:rsidRDefault="008B6471" w:rsidP="00A22C73">
      <w:pPr>
        <w:ind w:left="284" w:hanging="284"/>
        <w:jc w:val="left"/>
        <w:rPr>
          <w:rFonts w:cs="Arial"/>
          <w:sz w:val="20"/>
          <w:lang w:val="en-US"/>
        </w:rPr>
      </w:pPr>
      <w:r w:rsidRPr="00B446F1">
        <w:rPr>
          <w:rStyle w:val="FootnoteReference"/>
          <w:rFonts w:cs="Arial"/>
        </w:rPr>
        <w:footnoteRef/>
      </w:r>
      <w:r w:rsidRPr="00B446F1">
        <w:rPr>
          <w:rFonts w:cs="Arial"/>
          <w:sz w:val="20"/>
          <w:lang w:val="en-US"/>
        </w:rPr>
        <w:t xml:space="preserve"> </w:t>
      </w:r>
      <w:r>
        <w:rPr>
          <w:rFonts w:cs="Arial"/>
          <w:sz w:val="20"/>
          <w:lang w:val="en-US"/>
        </w:rPr>
        <w:tab/>
      </w:r>
      <w:r w:rsidRPr="00B446F1">
        <w:rPr>
          <w:rFonts w:cs="Arial"/>
          <w:sz w:val="20"/>
          <w:lang w:val="en-US"/>
        </w:rPr>
        <w:t xml:space="preserve">DOTCOM: </w:t>
      </w:r>
      <w:proofErr w:type="gramStart"/>
      <w:r w:rsidRPr="00B446F1">
        <w:rPr>
          <w:rFonts w:cs="Arial"/>
          <w:sz w:val="20"/>
          <w:lang w:val="en-US"/>
        </w:rPr>
        <w:t>the</w:t>
      </w:r>
      <w:proofErr w:type="gramEnd"/>
      <w:r w:rsidRPr="00B446F1">
        <w:rPr>
          <w:rFonts w:cs="Arial"/>
          <w:sz w:val="20"/>
          <w:lang w:val="en-US"/>
        </w:rPr>
        <w:t xml:space="preserve"> Disability Online Tool of the Commission (Spain). Available at: </w:t>
      </w:r>
      <w:hyperlink r:id="rId27" w:history="1">
        <w:r w:rsidRPr="00C202A6">
          <w:rPr>
            <w:rStyle w:val="Hyperlink"/>
            <w:rFonts w:eastAsiaTheme="majorEastAsia" w:cs="Arial"/>
            <w:sz w:val="20"/>
            <w:lang w:val="en-US"/>
          </w:rPr>
          <w:t>https://www.disability</w:t>
        </w:r>
        <w:r w:rsidRPr="00C202A6">
          <w:rPr>
            <w:rStyle w:val="Hyperlink"/>
            <w:rFonts w:eastAsiaTheme="majorEastAsia" w:cs="Arial"/>
            <w:sz w:val="20"/>
            <w:lang w:val="en-US"/>
          </w:rPr>
          <w:noBreakHyphen/>
          <w:t>europe.net/dotcom?l%5B%5D=31&amp;t%5B%5D=23&amp;t%5B%5D=24&amp;t%5B%5D=25&amp;t%5B%5D=26&amp;t%5B%5D=27&amp;t%5B%5D=28&amp;t%5B%5D=29&amp;t%5B%5D=30&amp;view_type=list</w:t>
        </w:r>
      </w:hyperlink>
      <w:r w:rsidRPr="00B446F1">
        <w:rPr>
          <w:rFonts w:cs="Arial"/>
          <w:sz w:val="20"/>
          <w:lang w:val="es-ES"/>
        </w:rPr>
        <w:t>.</w:t>
      </w:r>
    </w:p>
  </w:footnote>
  <w:footnote w:id="28">
    <w:p w14:paraId="4456D8C0" w14:textId="61F337A8" w:rsidR="008B6471" w:rsidRPr="00B446F1" w:rsidRDefault="008B6471" w:rsidP="00A22C73">
      <w:pPr>
        <w:pStyle w:val="FootnoteText"/>
        <w:ind w:left="284" w:hanging="284"/>
        <w:jc w:val="left"/>
        <w:rPr>
          <w:rFonts w:cs="Arial"/>
          <w:lang w:val="en-US"/>
        </w:rPr>
      </w:pPr>
      <w:r w:rsidRPr="00B446F1">
        <w:rPr>
          <w:rStyle w:val="FootnoteReference"/>
          <w:rFonts w:cs="Arial"/>
        </w:rPr>
        <w:footnoteRef/>
      </w:r>
      <w:r w:rsidRPr="00B446F1">
        <w:rPr>
          <w:rFonts w:cs="Arial"/>
          <w:lang w:val="es-ES"/>
        </w:rPr>
        <w:t xml:space="preserve"> </w:t>
      </w:r>
      <w:r>
        <w:rPr>
          <w:rFonts w:cs="Arial"/>
          <w:lang w:val="es-ES"/>
        </w:rPr>
        <w:tab/>
      </w:r>
      <w:r w:rsidRPr="00B446F1">
        <w:rPr>
          <w:rFonts w:cs="Arial"/>
          <w:lang w:val="es-ES"/>
        </w:rPr>
        <w:t xml:space="preserve">Alonso Parreño, M. A. (2015). El derecho a la vida independiente y su realización en España: ¿Un horizonte lejano para las personas con </w:t>
      </w:r>
      <w:proofErr w:type="gramStart"/>
      <w:r w:rsidRPr="00B446F1">
        <w:rPr>
          <w:rFonts w:cs="Arial"/>
          <w:lang w:val="es-ES"/>
        </w:rPr>
        <w:t>discapacidad?.</w:t>
      </w:r>
      <w:proofErr w:type="gramEnd"/>
      <w:r w:rsidRPr="00B446F1">
        <w:rPr>
          <w:rFonts w:cs="Arial"/>
          <w:lang w:val="es-ES"/>
        </w:rPr>
        <w:t xml:space="preserve"> </w:t>
      </w:r>
      <w:r w:rsidRPr="00B446F1">
        <w:rPr>
          <w:rFonts w:cs="Arial"/>
        </w:rPr>
        <w:t xml:space="preserve">Available at: </w:t>
      </w:r>
      <w:hyperlink r:id="rId28" w:history="1">
        <w:r w:rsidRPr="00B446F1">
          <w:rPr>
            <w:rStyle w:val="Hyperlink"/>
            <w:rFonts w:cs="Arial"/>
            <w:lang w:val="en-US"/>
          </w:rPr>
          <w:t>http://semanal.cermi.es/noticia/opinion-derecho-vida-independiente-horizonte-lejano-maria-jose-alonso-parreno.aspx</w:t>
        </w:r>
      </w:hyperlink>
      <w:r w:rsidRPr="00B446F1">
        <w:rPr>
          <w:rFonts w:cs="Arial"/>
          <w:lang w:val="es-ES"/>
        </w:rPr>
        <w:t>.</w:t>
      </w:r>
      <w:r w:rsidRPr="00B446F1">
        <w:rPr>
          <w:rFonts w:cs="Arial"/>
          <w:lang w:val="en-US"/>
        </w:rPr>
        <w:t xml:space="preserve"> </w:t>
      </w:r>
    </w:p>
  </w:footnote>
  <w:footnote w:id="29">
    <w:p w14:paraId="34F11DA9" w14:textId="492C2077" w:rsidR="008B6471" w:rsidRPr="00B446F1" w:rsidRDefault="008B6471" w:rsidP="00A22C73">
      <w:pPr>
        <w:ind w:left="284" w:hanging="284"/>
        <w:jc w:val="left"/>
        <w:rPr>
          <w:rFonts w:cs="Arial"/>
          <w:sz w:val="20"/>
          <w:lang w:val="en-US"/>
        </w:rPr>
      </w:pPr>
      <w:r w:rsidRPr="00B446F1">
        <w:rPr>
          <w:rStyle w:val="FootnoteReference"/>
          <w:rFonts w:cs="Arial"/>
        </w:rPr>
        <w:footnoteRef/>
      </w:r>
      <w:r w:rsidRPr="00B446F1">
        <w:rPr>
          <w:rFonts w:cs="Arial"/>
          <w:sz w:val="20"/>
          <w:lang w:val="en-US"/>
        </w:rPr>
        <w:t xml:space="preserve"> </w:t>
      </w:r>
      <w:r>
        <w:rPr>
          <w:rFonts w:cs="Arial"/>
          <w:sz w:val="20"/>
          <w:lang w:val="en-US"/>
        </w:rPr>
        <w:tab/>
      </w:r>
      <w:r w:rsidRPr="00B446F1">
        <w:rPr>
          <w:rFonts w:cs="Arial"/>
          <w:sz w:val="20"/>
          <w:lang w:val="en-US"/>
        </w:rPr>
        <w:t xml:space="preserve">DOTCOM: </w:t>
      </w:r>
      <w:proofErr w:type="gramStart"/>
      <w:r w:rsidRPr="00B446F1">
        <w:rPr>
          <w:rFonts w:cs="Arial"/>
          <w:sz w:val="20"/>
          <w:lang w:val="en-US"/>
        </w:rPr>
        <w:t>the</w:t>
      </w:r>
      <w:proofErr w:type="gramEnd"/>
      <w:r w:rsidRPr="00B446F1">
        <w:rPr>
          <w:rFonts w:cs="Arial"/>
          <w:sz w:val="20"/>
          <w:lang w:val="en-US"/>
        </w:rPr>
        <w:t xml:space="preserve"> Disability Online Tool of the Commission (Spain). Available at: </w:t>
      </w:r>
      <w:hyperlink r:id="rId29" w:history="1">
        <w:r w:rsidRPr="00C202A6">
          <w:rPr>
            <w:rStyle w:val="Hyperlink"/>
            <w:rFonts w:eastAsiaTheme="majorEastAsia" w:cs="Arial"/>
            <w:sz w:val="20"/>
            <w:lang w:val="en-US"/>
          </w:rPr>
          <w:t>https://www.disability</w:t>
        </w:r>
        <w:r w:rsidRPr="00C202A6">
          <w:rPr>
            <w:rStyle w:val="Hyperlink"/>
            <w:rFonts w:eastAsiaTheme="majorEastAsia" w:cs="Arial"/>
            <w:sz w:val="20"/>
            <w:lang w:val="en-US"/>
          </w:rPr>
          <w:noBreakHyphen/>
          <w:t>europe.net/dotcom?l%5B%5D=31&amp;t%5B%5D=23&amp;t%5B%5D=24&amp;t%5B%5D=25&amp;t%5B%5D=26&amp;t%5B%5D=27&amp;t%5B%5D=28&amp;t%5B%5D=29&amp;t%5B%5D=30&amp;view_type=list</w:t>
        </w:r>
      </w:hyperlink>
      <w:r w:rsidRPr="00B446F1">
        <w:rPr>
          <w:rFonts w:cs="Arial"/>
          <w:sz w:val="20"/>
          <w:lang w:val="es-ES"/>
        </w:rPr>
        <w:t>.</w:t>
      </w:r>
    </w:p>
  </w:footnote>
  <w:footnote w:id="30">
    <w:p w14:paraId="11839629" w14:textId="5EFB8C8E" w:rsidR="008B6471" w:rsidRPr="00B446F1" w:rsidRDefault="008B6471" w:rsidP="00A22C73">
      <w:pPr>
        <w:ind w:left="284" w:hanging="284"/>
        <w:jc w:val="left"/>
        <w:rPr>
          <w:rFonts w:cs="Arial"/>
          <w:sz w:val="20"/>
        </w:rPr>
      </w:pPr>
      <w:r w:rsidRPr="00B446F1">
        <w:rPr>
          <w:rStyle w:val="FootnoteReference"/>
          <w:rFonts w:cs="Arial"/>
        </w:rPr>
        <w:footnoteRef/>
      </w:r>
      <w:r w:rsidRPr="00B446F1">
        <w:rPr>
          <w:rFonts w:cs="Arial"/>
          <w:sz w:val="20"/>
        </w:rPr>
        <w:t xml:space="preserve"> </w:t>
      </w:r>
      <w:r>
        <w:rPr>
          <w:rFonts w:cs="Arial"/>
          <w:sz w:val="20"/>
        </w:rPr>
        <w:tab/>
      </w:r>
      <w:r w:rsidRPr="00B446F1">
        <w:rPr>
          <w:rFonts w:cs="Arial"/>
          <w:sz w:val="20"/>
          <w:lang w:val="en-US"/>
        </w:rPr>
        <w:t xml:space="preserve">Crowther, N., Quinn, G. &amp; Hillen-Moore, A. (2017). </w:t>
      </w:r>
      <w:proofErr w:type="gramStart"/>
      <w:r w:rsidRPr="00B446F1">
        <w:rPr>
          <w:rFonts w:cs="Arial"/>
          <w:sz w:val="20"/>
          <w:lang w:val="en-US"/>
        </w:rPr>
        <w:t>Opening up</w:t>
      </w:r>
      <w:proofErr w:type="gramEnd"/>
      <w:r w:rsidRPr="00B446F1">
        <w:rPr>
          <w:rFonts w:cs="Arial"/>
          <w:sz w:val="20"/>
          <w:lang w:val="en-US"/>
        </w:rPr>
        <w:t xml:space="preserve"> communities, closing down institutions: Harnessing the European Structural and Investment Funds. Ireland: Community Living for Europe: Structural Funds Watch. Available at: </w:t>
      </w:r>
      <w:hyperlink r:id="rId30" w:history="1">
        <w:r w:rsidRPr="00B446F1">
          <w:rPr>
            <w:rStyle w:val="Hyperlink"/>
            <w:rFonts w:cs="Arial"/>
            <w:sz w:val="20"/>
          </w:rPr>
          <w:t>https://eustructuralfundswatchdotcom.files.wordpress.com/2017/11/cle-sfw_opening-upcommunities-november-2017_final.pdf</w:t>
        </w:r>
      </w:hyperlink>
      <w:r w:rsidRPr="00B446F1">
        <w:rPr>
          <w:rFonts w:cs="Arial"/>
          <w:sz w:val="20"/>
          <w:lang w:val="es-ES"/>
        </w:rPr>
        <w:t>.</w:t>
      </w:r>
    </w:p>
  </w:footnote>
  <w:footnote w:id="31">
    <w:p w14:paraId="00246729" w14:textId="1B9BDA0F" w:rsidR="008B6471" w:rsidRPr="00B446F1" w:rsidRDefault="008B6471" w:rsidP="00A22C73">
      <w:pPr>
        <w:ind w:left="284" w:hanging="284"/>
        <w:jc w:val="left"/>
        <w:rPr>
          <w:rFonts w:cs="Arial"/>
          <w:sz w:val="20"/>
        </w:rPr>
      </w:pPr>
      <w:r w:rsidRPr="00B446F1">
        <w:rPr>
          <w:rStyle w:val="FootnoteReference"/>
          <w:rFonts w:cs="Arial"/>
        </w:rPr>
        <w:footnoteRef/>
      </w:r>
      <w:r w:rsidRPr="00B446F1">
        <w:rPr>
          <w:rFonts w:cs="Arial"/>
          <w:sz w:val="20"/>
        </w:rPr>
        <w:t xml:space="preserve"> </w:t>
      </w:r>
      <w:r>
        <w:rPr>
          <w:rFonts w:cs="Arial"/>
          <w:sz w:val="20"/>
        </w:rPr>
        <w:tab/>
      </w:r>
      <w:r w:rsidRPr="00B446F1">
        <w:rPr>
          <w:rFonts w:cs="Arial"/>
          <w:sz w:val="20"/>
          <w:lang w:val="en-US"/>
        </w:rPr>
        <w:t xml:space="preserve">Crowther, N., Quinn, G. &amp; Hillen-Moore, A. (2017). </w:t>
      </w:r>
      <w:proofErr w:type="gramStart"/>
      <w:r w:rsidRPr="00B446F1">
        <w:rPr>
          <w:rFonts w:cs="Arial"/>
          <w:sz w:val="20"/>
          <w:lang w:val="en-US"/>
        </w:rPr>
        <w:t>Opening up</w:t>
      </w:r>
      <w:proofErr w:type="gramEnd"/>
      <w:r w:rsidRPr="00B446F1">
        <w:rPr>
          <w:rFonts w:cs="Arial"/>
          <w:sz w:val="20"/>
          <w:lang w:val="en-US"/>
        </w:rPr>
        <w:t xml:space="preserve"> communities, closing down institutions: Harnessing the European Structural and Investment Funds. Ireland: Community Living for Europe: Structural Funds Watch. Available at: </w:t>
      </w:r>
      <w:hyperlink r:id="rId31" w:history="1">
        <w:r w:rsidRPr="00B446F1">
          <w:rPr>
            <w:rStyle w:val="Hyperlink"/>
            <w:rFonts w:cs="Arial"/>
            <w:sz w:val="20"/>
          </w:rPr>
          <w:t>https://eustructuralfundswatchdotcom.files.wordpress.com/2017/11/cle-sfw_opening-upcommunities-november-2017_final.pdf</w:t>
        </w:r>
      </w:hyperlink>
      <w:r w:rsidRPr="00B446F1">
        <w:rPr>
          <w:rFonts w:cs="Arial"/>
          <w:sz w:val="20"/>
          <w:lang w:val="es-ES"/>
        </w:rPr>
        <w:t>.</w:t>
      </w:r>
      <w:r w:rsidRPr="00B446F1">
        <w:rPr>
          <w:rFonts w:cs="Arial"/>
          <w:sz w:val="20"/>
        </w:rPr>
        <w:t xml:space="preserve"> </w:t>
      </w:r>
    </w:p>
  </w:footnote>
  <w:footnote w:id="32">
    <w:p w14:paraId="0F962F38" w14:textId="1ABE9784" w:rsidR="008B6471" w:rsidRPr="00B446F1" w:rsidRDefault="008B6471" w:rsidP="00A22C73">
      <w:pPr>
        <w:pStyle w:val="FootnoteText"/>
        <w:ind w:left="284" w:hanging="284"/>
        <w:jc w:val="left"/>
        <w:rPr>
          <w:rFonts w:cs="Arial"/>
          <w:lang w:val="es-ES"/>
        </w:rPr>
      </w:pPr>
      <w:r w:rsidRPr="00B446F1">
        <w:rPr>
          <w:rStyle w:val="FootnoteReference"/>
          <w:rFonts w:cs="Arial"/>
        </w:rPr>
        <w:footnoteRef/>
      </w:r>
      <w:r w:rsidRPr="00B446F1">
        <w:rPr>
          <w:rFonts w:cs="Arial"/>
          <w:lang w:val="es-ES"/>
        </w:rPr>
        <w:t xml:space="preserve"> </w:t>
      </w:r>
      <w:r>
        <w:rPr>
          <w:rFonts w:cs="Arial"/>
          <w:lang w:val="es-ES"/>
        </w:rPr>
        <w:tab/>
      </w:r>
      <w:r w:rsidRPr="00B446F1">
        <w:rPr>
          <w:rFonts w:cs="Arial"/>
          <w:lang w:val="es-ES"/>
        </w:rPr>
        <w:t xml:space="preserve">Proposición no de Ley presentada por el Grupo Parlamentario Socialista, sobre la actualización de la Estrategia Nacional de Salud Mental del Sistema Nacional de Salud [Boletín Oficial de las Cortes Generales. Congreso de los Diputados XII Legislatura (10 de mayo de 2017). </w:t>
      </w:r>
      <w:proofErr w:type="spellStart"/>
      <w:r w:rsidRPr="00B446F1">
        <w:rPr>
          <w:rFonts w:cs="Arial"/>
          <w:lang w:val="es-ES"/>
        </w:rPr>
        <w:t>Pps</w:t>
      </w:r>
      <w:proofErr w:type="spellEnd"/>
      <w:r w:rsidRPr="00B446F1">
        <w:rPr>
          <w:rFonts w:cs="Arial"/>
          <w:lang w:val="es-ES"/>
        </w:rPr>
        <w:t xml:space="preserve">. 79-80]. </w:t>
      </w:r>
      <w:proofErr w:type="spellStart"/>
      <w:r w:rsidRPr="00B446F1">
        <w:rPr>
          <w:rFonts w:cs="Arial"/>
          <w:lang w:val="es-ES"/>
        </w:rPr>
        <w:t>Available</w:t>
      </w:r>
      <w:proofErr w:type="spellEnd"/>
      <w:r w:rsidRPr="00B446F1">
        <w:rPr>
          <w:rFonts w:cs="Arial"/>
          <w:lang w:val="es-ES"/>
        </w:rPr>
        <w:t xml:space="preserve"> at: </w:t>
      </w:r>
      <w:hyperlink r:id="rId32" w:history="1">
        <w:r w:rsidRPr="00B446F1">
          <w:rPr>
            <w:rStyle w:val="Hyperlink"/>
            <w:rFonts w:cs="Arial"/>
            <w:lang w:val="es-ES"/>
          </w:rPr>
          <w:t>http://www.infocoponline.es/pdf/BOCG-12-D-150.pdf</w:t>
        </w:r>
      </w:hyperlink>
      <w:r w:rsidRPr="00B446F1">
        <w:rPr>
          <w:rFonts w:cs="Arial"/>
          <w:lang w:val="es-ES"/>
        </w:rPr>
        <w:t xml:space="preserve">. </w:t>
      </w:r>
    </w:p>
  </w:footnote>
  <w:footnote w:id="33">
    <w:p w14:paraId="0F9E27FA" w14:textId="3552B12E" w:rsidR="008B6471" w:rsidRPr="00B446F1" w:rsidRDefault="008B6471" w:rsidP="00A22C73">
      <w:pPr>
        <w:pStyle w:val="FootnoteText"/>
        <w:ind w:left="284" w:hanging="284"/>
        <w:jc w:val="left"/>
        <w:rPr>
          <w:rFonts w:cs="Arial"/>
          <w:lang w:val="es-ES"/>
        </w:rPr>
      </w:pPr>
      <w:r w:rsidRPr="00B446F1">
        <w:rPr>
          <w:rStyle w:val="FootnoteReference"/>
          <w:rFonts w:cs="Arial"/>
        </w:rPr>
        <w:footnoteRef/>
      </w:r>
      <w:r>
        <w:rPr>
          <w:rFonts w:cs="Arial"/>
          <w:lang w:val="es-ES"/>
        </w:rPr>
        <w:t xml:space="preserve"> </w:t>
      </w:r>
      <w:r>
        <w:rPr>
          <w:rFonts w:cs="Arial"/>
          <w:lang w:val="es-ES"/>
        </w:rPr>
        <w:tab/>
      </w:r>
      <w:r w:rsidRPr="00B446F1">
        <w:rPr>
          <w:rFonts w:cs="Arial"/>
          <w:lang w:val="es-ES"/>
        </w:rPr>
        <w:t xml:space="preserve">Plena Inclusión (2016). Posicionamiento de Plena inclusión sobre personas con discapacidad intelectual o del desarrollo con grandes necesidades de apoyo. </w:t>
      </w:r>
      <w:proofErr w:type="spellStart"/>
      <w:r w:rsidRPr="00B446F1">
        <w:rPr>
          <w:rFonts w:cs="Arial"/>
          <w:lang w:val="es-ES"/>
        </w:rPr>
        <w:t>Available</w:t>
      </w:r>
      <w:proofErr w:type="spellEnd"/>
      <w:r w:rsidRPr="00B446F1">
        <w:rPr>
          <w:rFonts w:cs="Arial"/>
          <w:lang w:val="es-ES"/>
        </w:rPr>
        <w:t xml:space="preserve"> at: </w:t>
      </w:r>
      <w:hyperlink r:id="rId33" w:history="1">
        <w:r w:rsidRPr="00C202A6">
          <w:rPr>
            <w:rStyle w:val="Hyperlink"/>
            <w:rFonts w:cs="Arial"/>
            <w:lang w:val="es-ES"/>
          </w:rPr>
          <w:t>http://www.plenainclusion.org/informate/actualidad/noticias/2016/posicionamiento-de-plena-inclusion-sobre-personas-con</w:t>
        </w:r>
      </w:hyperlink>
      <w:r>
        <w:rPr>
          <w:rFonts w:cs="Arial"/>
          <w:lang w:val="es-ES"/>
        </w:rPr>
        <w:t xml:space="preserve">. </w:t>
      </w:r>
    </w:p>
  </w:footnote>
  <w:footnote w:id="34">
    <w:p w14:paraId="41705F3E" w14:textId="7341E8A9" w:rsidR="008B6471" w:rsidRPr="00B446F1" w:rsidRDefault="008B6471" w:rsidP="00A22C73">
      <w:pPr>
        <w:pStyle w:val="FootnoteText"/>
        <w:ind w:left="284" w:hanging="284"/>
        <w:jc w:val="left"/>
        <w:rPr>
          <w:rFonts w:cs="Arial"/>
          <w:lang w:val="es-ES"/>
        </w:rPr>
      </w:pPr>
      <w:r w:rsidRPr="00B446F1">
        <w:rPr>
          <w:rStyle w:val="FootnoteReference"/>
          <w:rFonts w:cs="Arial"/>
        </w:rPr>
        <w:footnoteRef/>
      </w:r>
      <w:r w:rsidRPr="00B446F1">
        <w:rPr>
          <w:rFonts w:cs="Arial"/>
          <w:lang w:val="es-ES"/>
        </w:rPr>
        <w:t xml:space="preserve"> </w:t>
      </w:r>
      <w:r>
        <w:rPr>
          <w:rFonts w:cs="Arial"/>
          <w:lang w:val="es-ES"/>
        </w:rPr>
        <w:tab/>
      </w:r>
      <w:r w:rsidRPr="00B446F1">
        <w:rPr>
          <w:rFonts w:cs="Arial"/>
          <w:lang w:val="es-ES"/>
        </w:rPr>
        <w:t xml:space="preserve">Plena Inclusión (2016). Posicionamiento de Plena inclusión sobre personas con discapacidad intelectual o del desarrollo con grandes necesidades de apoyo. </w:t>
      </w:r>
      <w:proofErr w:type="spellStart"/>
      <w:r w:rsidRPr="00B446F1">
        <w:rPr>
          <w:rFonts w:cs="Arial"/>
          <w:lang w:val="es-ES"/>
        </w:rPr>
        <w:t>Available</w:t>
      </w:r>
      <w:proofErr w:type="spellEnd"/>
      <w:r w:rsidRPr="00B446F1">
        <w:rPr>
          <w:rFonts w:cs="Arial"/>
          <w:lang w:val="es-ES"/>
        </w:rPr>
        <w:t xml:space="preserve"> at:</w:t>
      </w:r>
      <w:r>
        <w:rPr>
          <w:rFonts w:cs="Arial"/>
          <w:lang w:val="es-ES"/>
        </w:rPr>
        <w:t xml:space="preserve"> </w:t>
      </w:r>
      <w:hyperlink r:id="rId34" w:history="1">
        <w:r w:rsidRPr="00C202A6">
          <w:rPr>
            <w:rStyle w:val="Hyperlink"/>
            <w:rFonts w:cs="Arial"/>
            <w:lang w:val="es-ES"/>
          </w:rPr>
          <w:t>http://www.plenainclusion.org/informate/actualidad/noticias/2016/posicionamiento-de-plena-inclusion-sobre-personas-con</w:t>
        </w:r>
      </w:hyperlink>
      <w:r>
        <w:rPr>
          <w:rFonts w:cs="Arial"/>
          <w:lang w:val="es-ES"/>
        </w:rPr>
        <w:t xml:space="preserve">. </w:t>
      </w:r>
    </w:p>
  </w:footnote>
  <w:footnote w:id="35">
    <w:p w14:paraId="0F02AD1E" w14:textId="40CA9C70" w:rsidR="008B6471" w:rsidRPr="00B446F1" w:rsidRDefault="008B6471" w:rsidP="00A22C73">
      <w:pPr>
        <w:pStyle w:val="FootnoteText"/>
        <w:ind w:left="284" w:hanging="284"/>
        <w:jc w:val="left"/>
        <w:rPr>
          <w:rFonts w:cs="Arial"/>
        </w:rPr>
      </w:pPr>
      <w:r w:rsidRPr="00B446F1">
        <w:rPr>
          <w:rStyle w:val="FootnoteReference"/>
          <w:rFonts w:cs="Arial"/>
        </w:rPr>
        <w:footnoteRef/>
      </w:r>
      <w:r w:rsidRPr="00B446F1">
        <w:rPr>
          <w:rFonts w:cs="Arial"/>
        </w:rPr>
        <w:t xml:space="preserve"> </w:t>
      </w:r>
      <w:r>
        <w:rPr>
          <w:rFonts w:cs="Arial"/>
        </w:rPr>
        <w:tab/>
      </w:r>
      <w:hyperlink r:id="rId35" w:history="1">
        <w:r w:rsidRPr="007614AF">
          <w:rPr>
            <w:rStyle w:val="Hyperlink"/>
            <w:rFonts w:cs="Arial"/>
            <w:color w:val="auto"/>
            <w:u w:val="none"/>
          </w:rPr>
          <w:t>European</w:t>
        </w:r>
      </w:hyperlink>
      <w:r w:rsidRPr="007614AF">
        <w:rPr>
          <w:rStyle w:val="Hyperlink"/>
          <w:rFonts w:cs="Arial"/>
          <w:color w:val="auto"/>
          <w:u w:val="none"/>
        </w:rPr>
        <w:t xml:space="preserve"> Social Fund. Spain Projects. Available at:</w:t>
      </w:r>
      <w:r w:rsidRPr="00A22C73">
        <w:rPr>
          <w:rStyle w:val="Hyperlink"/>
          <w:rFonts w:cs="Arial"/>
          <w:color w:val="auto"/>
        </w:rPr>
        <w:t xml:space="preserve"> </w:t>
      </w:r>
      <w:hyperlink r:id="rId36" w:history="1">
        <w:r w:rsidRPr="007614AF">
          <w:rPr>
            <w:rStyle w:val="Hyperlink"/>
            <w:rFonts w:cs="Arial"/>
          </w:rPr>
          <w:t>http://ec.europa.eu/esf/main.jsp?catId=46&amp;langId=es&amp;keywords=&amp;theme=0&amp;country=378&amp;list=1</w:t>
        </w:r>
      </w:hyperlink>
      <w:r w:rsidRPr="00B446F1">
        <w:rPr>
          <w:rFonts w:cs="Arial"/>
          <w:lang w:val="es-ES"/>
        </w:rPr>
        <w:t>.</w:t>
      </w:r>
    </w:p>
  </w:footnote>
  <w:footnote w:id="36">
    <w:p w14:paraId="61E7EF81" w14:textId="61ECF146" w:rsidR="008B6471" w:rsidRPr="00B446F1" w:rsidRDefault="008B6471" w:rsidP="00A22C73">
      <w:pPr>
        <w:pStyle w:val="FootnoteText"/>
        <w:ind w:left="284" w:hanging="284"/>
        <w:jc w:val="left"/>
        <w:rPr>
          <w:rFonts w:cs="Arial"/>
        </w:rPr>
      </w:pPr>
      <w:r w:rsidRPr="00B446F1">
        <w:rPr>
          <w:rStyle w:val="FootnoteReference"/>
          <w:rFonts w:cs="Arial"/>
        </w:rPr>
        <w:footnoteRef/>
      </w:r>
      <w:r>
        <w:rPr>
          <w:rFonts w:cs="Arial"/>
          <w:lang w:val="es-ES"/>
        </w:rPr>
        <w:t xml:space="preserve"> </w:t>
      </w:r>
      <w:r>
        <w:rPr>
          <w:rFonts w:cs="Arial"/>
          <w:lang w:val="es-ES"/>
        </w:rPr>
        <w:tab/>
      </w:r>
      <w:r w:rsidRPr="00B446F1">
        <w:rPr>
          <w:rFonts w:cs="Arial"/>
          <w:lang w:val="es-ES"/>
        </w:rPr>
        <w:t xml:space="preserve">Rodríguez </w:t>
      </w:r>
      <w:proofErr w:type="spellStart"/>
      <w:r w:rsidRPr="00B446F1">
        <w:rPr>
          <w:rFonts w:cs="Arial"/>
          <w:lang w:val="es-ES"/>
        </w:rPr>
        <w:t>Rodríguez</w:t>
      </w:r>
      <w:proofErr w:type="spellEnd"/>
      <w:r w:rsidRPr="00B446F1">
        <w:rPr>
          <w:rFonts w:cs="Arial"/>
          <w:lang w:val="es-ES"/>
        </w:rPr>
        <w:t xml:space="preserve">, P., Ramos </w:t>
      </w:r>
      <w:proofErr w:type="spellStart"/>
      <w:r w:rsidRPr="00B446F1">
        <w:rPr>
          <w:rFonts w:cs="Arial"/>
          <w:lang w:val="es-ES"/>
        </w:rPr>
        <w:t>Feijóo</w:t>
      </w:r>
      <w:proofErr w:type="spellEnd"/>
      <w:r w:rsidRPr="00B446F1">
        <w:rPr>
          <w:rFonts w:cs="Arial"/>
          <w:lang w:val="es-ES"/>
        </w:rPr>
        <w:t>, C.,</w:t>
      </w:r>
      <w:r>
        <w:rPr>
          <w:rFonts w:cs="Arial"/>
          <w:lang w:val="es-ES"/>
        </w:rPr>
        <w:t xml:space="preserve"> </w:t>
      </w:r>
      <w:r w:rsidRPr="00B446F1">
        <w:rPr>
          <w:rFonts w:cs="Arial"/>
          <w:lang w:val="es-ES"/>
        </w:rPr>
        <w:t>García Mendoza, A.,</w:t>
      </w:r>
      <w:r>
        <w:rPr>
          <w:rFonts w:cs="Arial"/>
          <w:lang w:val="es-ES"/>
        </w:rPr>
        <w:t xml:space="preserve"> </w:t>
      </w:r>
      <w:proofErr w:type="spellStart"/>
      <w:r w:rsidRPr="00B446F1">
        <w:rPr>
          <w:rFonts w:cs="Arial"/>
          <w:lang w:val="es-ES"/>
        </w:rPr>
        <w:t>Dabbagh</w:t>
      </w:r>
      <w:proofErr w:type="spellEnd"/>
      <w:r w:rsidRPr="00B446F1">
        <w:rPr>
          <w:rFonts w:cs="Arial"/>
          <w:lang w:val="es-ES"/>
        </w:rPr>
        <w:t xml:space="preserve"> </w:t>
      </w:r>
      <w:proofErr w:type="spellStart"/>
      <w:r w:rsidRPr="00B446F1">
        <w:rPr>
          <w:rFonts w:cs="Arial"/>
          <w:lang w:val="es-ES"/>
        </w:rPr>
        <w:t>Rollán</w:t>
      </w:r>
      <w:proofErr w:type="spellEnd"/>
      <w:r w:rsidRPr="00B446F1">
        <w:rPr>
          <w:rFonts w:cs="Arial"/>
          <w:lang w:val="es-ES"/>
        </w:rPr>
        <w:t>,</w:t>
      </w:r>
      <w:r>
        <w:rPr>
          <w:rFonts w:cs="Arial"/>
          <w:lang w:val="es-ES"/>
        </w:rPr>
        <w:t xml:space="preserve"> </w:t>
      </w:r>
      <w:r w:rsidRPr="00B446F1">
        <w:rPr>
          <w:rFonts w:cs="Arial"/>
          <w:lang w:val="es-ES"/>
        </w:rPr>
        <w:t xml:space="preserve">V.O., Mirete </w:t>
      </w:r>
      <w:proofErr w:type="spellStart"/>
      <w:r w:rsidRPr="00B446F1">
        <w:rPr>
          <w:rFonts w:cs="Arial"/>
          <w:lang w:val="es-ES"/>
        </w:rPr>
        <w:t>Valmala</w:t>
      </w:r>
      <w:proofErr w:type="spellEnd"/>
      <w:r w:rsidRPr="00B446F1">
        <w:rPr>
          <w:rFonts w:cs="Arial"/>
          <w:lang w:val="es-ES"/>
        </w:rPr>
        <w:t xml:space="preserve">, C., &amp; Castejón Villarejo, P. (2017). La atención en domicilios y comunidad a personas con discapacidad y personas mayores. Guía de innovación según el Modelo AICP. Madrid: Fundación Pilares. </w:t>
      </w:r>
      <w:r w:rsidRPr="00B446F1">
        <w:rPr>
          <w:rFonts w:cs="Arial"/>
          <w:lang w:val="en-US"/>
        </w:rPr>
        <w:t>Available at:</w:t>
      </w:r>
      <w:r>
        <w:rPr>
          <w:rFonts w:cs="Arial"/>
          <w:lang w:val="en-US"/>
        </w:rPr>
        <w:t xml:space="preserve"> </w:t>
      </w:r>
      <w:hyperlink r:id="rId37" w:history="1">
        <w:r w:rsidRPr="00C202A6">
          <w:rPr>
            <w:rStyle w:val="Hyperlink"/>
            <w:rFonts w:cs="Arial"/>
          </w:rPr>
          <w:t>http://www.fundacionpilares.org/docs/publicaciones/fpilares-guia02-domicilios-comunidad-2017.pdf</w:t>
        </w:r>
      </w:hyperlink>
      <w:r>
        <w:rPr>
          <w:rFonts w:cs="Arial"/>
        </w:rPr>
        <w:t xml:space="preserve">. </w:t>
      </w:r>
    </w:p>
  </w:footnote>
  <w:footnote w:id="37">
    <w:p w14:paraId="4F2BB8F1" w14:textId="76E2D704" w:rsidR="008B6471" w:rsidRPr="00B446F1" w:rsidRDefault="008B6471" w:rsidP="00A22C73">
      <w:pPr>
        <w:pStyle w:val="FootnoteText"/>
        <w:ind w:left="284" w:hanging="284"/>
        <w:jc w:val="left"/>
        <w:rPr>
          <w:rFonts w:cs="Arial"/>
          <w:lang w:val="en-US"/>
        </w:rPr>
      </w:pPr>
      <w:r w:rsidRPr="00B446F1">
        <w:rPr>
          <w:rStyle w:val="FootnoteReference"/>
          <w:rFonts w:cs="Arial"/>
        </w:rPr>
        <w:footnoteRef/>
      </w:r>
      <w:r w:rsidRPr="00B446F1">
        <w:rPr>
          <w:rFonts w:cs="Arial"/>
          <w:lang w:val="en-US"/>
        </w:rPr>
        <w:t xml:space="preserve"> </w:t>
      </w:r>
      <w:r>
        <w:rPr>
          <w:rFonts w:cs="Arial"/>
          <w:lang w:val="en-US"/>
        </w:rPr>
        <w:tab/>
      </w:r>
      <w:r w:rsidRPr="00B446F1">
        <w:rPr>
          <w:rFonts w:cs="Arial"/>
          <w:lang w:val="en-US"/>
        </w:rPr>
        <w:t xml:space="preserve">More info at: </w:t>
      </w:r>
      <w:hyperlink r:id="rId38" w:history="1">
        <w:r w:rsidRPr="00C202A6">
          <w:rPr>
            <w:rStyle w:val="Hyperlink"/>
            <w:rFonts w:cs="Arial"/>
            <w:lang w:val="en-US"/>
          </w:rPr>
          <w:t>http://www.plenainclusion.org/informate/actualidad/noticias/2018/celebramos-el-primer-seminario-del-proyecto-mi-casa-sobre-los</w:t>
        </w:r>
      </w:hyperlink>
      <w:r>
        <w:rPr>
          <w:rFonts w:cs="Arial"/>
          <w:lang w:val="en-US"/>
        </w:rPr>
        <w:t xml:space="preserve">. </w:t>
      </w:r>
    </w:p>
  </w:footnote>
  <w:footnote w:id="38">
    <w:p w14:paraId="537994F8" w14:textId="336F59A4" w:rsidR="008B6471" w:rsidRPr="00B446F1" w:rsidRDefault="008B6471" w:rsidP="002A111A">
      <w:pPr>
        <w:ind w:left="284" w:hanging="284"/>
        <w:jc w:val="left"/>
        <w:rPr>
          <w:rFonts w:cs="Arial"/>
          <w:sz w:val="20"/>
          <w:lang w:val="en-US"/>
        </w:rPr>
      </w:pPr>
      <w:r w:rsidRPr="00B446F1">
        <w:rPr>
          <w:rStyle w:val="FootnoteReference"/>
          <w:rFonts w:eastAsiaTheme="minorEastAsia" w:cs="Arial"/>
        </w:rPr>
        <w:footnoteRef/>
      </w:r>
      <w:r w:rsidRPr="00B446F1">
        <w:rPr>
          <w:rFonts w:cs="Arial"/>
          <w:sz w:val="20"/>
          <w:lang w:val="es-ES"/>
        </w:rPr>
        <w:t xml:space="preserve"> </w:t>
      </w:r>
      <w:r>
        <w:rPr>
          <w:rFonts w:cs="Arial"/>
          <w:sz w:val="20"/>
          <w:lang w:val="es-ES"/>
        </w:rPr>
        <w:tab/>
      </w:r>
      <w:r w:rsidRPr="00B446F1">
        <w:rPr>
          <w:rFonts w:cs="Arial"/>
          <w:sz w:val="20"/>
          <w:lang w:val="es-ES"/>
        </w:rPr>
        <w:t xml:space="preserve">Rodríguez </w:t>
      </w:r>
      <w:proofErr w:type="spellStart"/>
      <w:r w:rsidRPr="00B446F1">
        <w:rPr>
          <w:rFonts w:cs="Arial"/>
          <w:sz w:val="20"/>
          <w:lang w:val="es-ES"/>
        </w:rPr>
        <w:t>Rodríguez</w:t>
      </w:r>
      <w:proofErr w:type="spellEnd"/>
      <w:r w:rsidRPr="00B446F1">
        <w:rPr>
          <w:rFonts w:cs="Arial"/>
          <w:sz w:val="20"/>
          <w:lang w:val="es-ES"/>
        </w:rPr>
        <w:t xml:space="preserve">, P., Ramos </w:t>
      </w:r>
      <w:proofErr w:type="spellStart"/>
      <w:r w:rsidRPr="00B446F1">
        <w:rPr>
          <w:rFonts w:cs="Arial"/>
          <w:sz w:val="20"/>
          <w:lang w:val="es-ES"/>
        </w:rPr>
        <w:t>Feijóo</w:t>
      </w:r>
      <w:proofErr w:type="spellEnd"/>
      <w:r w:rsidRPr="00B446F1">
        <w:rPr>
          <w:rFonts w:cs="Arial"/>
          <w:sz w:val="20"/>
          <w:lang w:val="es-ES"/>
        </w:rPr>
        <w:t>, C.,</w:t>
      </w:r>
      <w:r>
        <w:rPr>
          <w:rFonts w:cs="Arial"/>
          <w:sz w:val="20"/>
          <w:lang w:val="es-ES"/>
        </w:rPr>
        <w:t xml:space="preserve"> </w:t>
      </w:r>
      <w:r w:rsidRPr="00B446F1">
        <w:rPr>
          <w:rFonts w:cs="Arial"/>
          <w:sz w:val="20"/>
          <w:lang w:val="es-ES"/>
        </w:rPr>
        <w:t>García Mendoza, A.,</w:t>
      </w:r>
      <w:r>
        <w:rPr>
          <w:rFonts w:cs="Arial"/>
          <w:sz w:val="20"/>
          <w:lang w:val="es-ES"/>
        </w:rPr>
        <w:t xml:space="preserve"> </w:t>
      </w:r>
      <w:proofErr w:type="spellStart"/>
      <w:r w:rsidRPr="00B446F1">
        <w:rPr>
          <w:rFonts w:cs="Arial"/>
          <w:sz w:val="20"/>
          <w:lang w:val="es-ES"/>
        </w:rPr>
        <w:t>Dabbagh</w:t>
      </w:r>
      <w:proofErr w:type="spellEnd"/>
      <w:r w:rsidRPr="00B446F1">
        <w:rPr>
          <w:rFonts w:cs="Arial"/>
          <w:sz w:val="20"/>
          <w:lang w:val="es-ES"/>
        </w:rPr>
        <w:t xml:space="preserve"> </w:t>
      </w:r>
      <w:proofErr w:type="spellStart"/>
      <w:r w:rsidRPr="00B446F1">
        <w:rPr>
          <w:rFonts w:cs="Arial"/>
          <w:sz w:val="20"/>
          <w:lang w:val="es-ES"/>
        </w:rPr>
        <w:t>Rollán</w:t>
      </w:r>
      <w:proofErr w:type="spellEnd"/>
      <w:r w:rsidRPr="00B446F1">
        <w:rPr>
          <w:rFonts w:cs="Arial"/>
          <w:sz w:val="20"/>
          <w:lang w:val="es-ES"/>
        </w:rPr>
        <w:t>,</w:t>
      </w:r>
      <w:r>
        <w:rPr>
          <w:rFonts w:cs="Arial"/>
          <w:sz w:val="20"/>
          <w:lang w:val="es-ES"/>
        </w:rPr>
        <w:t xml:space="preserve"> </w:t>
      </w:r>
      <w:r w:rsidRPr="00B446F1">
        <w:rPr>
          <w:rFonts w:cs="Arial"/>
          <w:sz w:val="20"/>
          <w:lang w:val="es-ES"/>
        </w:rPr>
        <w:t xml:space="preserve">V.O., Mirete </w:t>
      </w:r>
      <w:proofErr w:type="spellStart"/>
      <w:r w:rsidRPr="00B446F1">
        <w:rPr>
          <w:rFonts w:cs="Arial"/>
          <w:sz w:val="20"/>
          <w:lang w:val="es-ES"/>
        </w:rPr>
        <w:t>Valmala</w:t>
      </w:r>
      <w:proofErr w:type="spellEnd"/>
      <w:r w:rsidRPr="00B446F1">
        <w:rPr>
          <w:rFonts w:cs="Arial"/>
          <w:sz w:val="20"/>
          <w:lang w:val="es-ES"/>
        </w:rPr>
        <w:t xml:space="preserve">, C., &amp; Castejón Villarejo, P. (2017). La atención en domicilios y comunidad a personas con discapacidad y personas mayores. Guía de innovación según el Modelo AICP. Madrid: Fundación Pilares. </w:t>
      </w:r>
      <w:r w:rsidRPr="00B446F1">
        <w:rPr>
          <w:rFonts w:cs="Arial"/>
          <w:sz w:val="20"/>
          <w:lang w:val="en-US"/>
        </w:rPr>
        <w:t xml:space="preserve">Available at: </w:t>
      </w:r>
      <w:hyperlink r:id="rId39" w:history="1">
        <w:r w:rsidRPr="00B446F1">
          <w:rPr>
            <w:rStyle w:val="Hyperlink"/>
            <w:rFonts w:eastAsiaTheme="majorEastAsia" w:cs="Arial"/>
            <w:sz w:val="20"/>
            <w:lang w:val="en-US"/>
          </w:rPr>
          <w:t>http://www.fundacionpilares.org/docs/publicaciones/fpilares-guia02-domicilios-comunidad-2017.pdf</w:t>
        </w:r>
      </w:hyperlink>
      <w:r w:rsidRPr="00B446F1">
        <w:rPr>
          <w:rFonts w:cs="Arial"/>
          <w:sz w:val="20"/>
          <w:lang w:val="es-ES"/>
        </w:rPr>
        <w:t>.</w:t>
      </w:r>
    </w:p>
  </w:footnote>
  <w:footnote w:id="39">
    <w:p w14:paraId="7A54CE86" w14:textId="0292853B" w:rsidR="008B6471" w:rsidRPr="00B446F1" w:rsidRDefault="008B6471" w:rsidP="00A22C73">
      <w:pPr>
        <w:pStyle w:val="FootnoteText"/>
        <w:ind w:left="284" w:hanging="284"/>
        <w:jc w:val="left"/>
        <w:rPr>
          <w:rFonts w:cs="Arial"/>
          <w:lang w:val="es-ES"/>
        </w:rPr>
      </w:pPr>
      <w:r w:rsidRPr="00B446F1">
        <w:rPr>
          <w:rStyle w:val="FootnoteReference"/>
          <w:rFonts w:cs="Arial"/>
        </w:rPr>
        <w:footnoteRef/>
      </w:r>
      <w:r w:rsidRPr="00B446F1">
        <w:rPr>
          <w:rFonts w:cs="Arial"/>
          <w:lang w:val="es-ES"/>
        </w:rPr>
        <w:t xml:space="preserve"> </w:t>
      </w:r>
      <w:r>
        <w:rPr>
          <w:rFonts w:cs="Arial"/>
          <w:lang w:val="es-ES"/>
        </w:rPr>
        <w:tab/>
      </w:r>
      <w:proofErr w:type="spellStart"/>
      <w:r w:rsidRPr="00B446F1">
        <w:rPr>
          <w:rFonts w:cs="Arial"/>
          <w:lang w:val="es-ES"/>
        </w:rPr>
        <w:t>Pallisera</w:t>
      </w:r>
      <w:proofErr w:type="spellEnd"/>
      <w:r w:rsidRPr="00B446F1">
        <w:rPr>
          <w:rFonts w:cs="Arial"/>
          <w:lang w:val="es-ES"/>
        </w:rPr>
        <w:t xml:space="preserve">, M. et al. (2018): “Retos para la vida independiente de las personas con discapacidad intelectual. Un estudio basado en sus opiniones, las de sus familias y las de los profesionales”. Revista Española de Discapacidad, 6 (I): 7-29. </w:t>
      </w:r>
      <w:proofErr w:type="spellStart"/>
      <w:r w:rsidRPr="00B446F1">
        <w:rPr>
          <w:rFonts w:cs="Arial"/>
          <w:lang w:val="es-ES"/>
        </w:rPr>
        <w:t>doi</w:t>
      </w:r>
      <w:proofErr w:type="spellEnd"/>
      <w:r w:rsidRPr="00B446F1">
        <w:rPr>
          <w:rFonts w:cs="Arial"/>
          <w:lang w:val="es-ES"/>
        </w:rPr>
        <w:t xml:space="preserve">: 10.5569/2340-5104.06.01.01. </w:t>
      </w:r>
      <w:proofErr w:type="spellStart"/>
      <w:r w:rsidRPr="00B446F1">
        <w:rPr>
          <w:rFonts w:cs="Arial"/>
          <w:lang w:val="es-ES"/>
        </w:rPr>
        <w:t>Available</w:t>
      </w:r>
      <w:proofErr w:type="spellEnd"/>
      <w:r w:rsidRPr="00B446F1">
        <w:rPr>
          <w:rFonts w:cs="Arial"/>
          <w:lang w:val="es-ES"/>
        </w:rPr>
        <w:t xml:space="preserve"> at: </w:t>
      </w:r>
      <w:hyperlink r:id="rId40" w:history="1">
        <w:r w:rsidRPr="00B446F1">
          <w:rPr>
            <w:rStyle w:val="Hyperlink"/>
            <w:rFonts w:cs="Arial"/>
            <w:lang w:val="es-ES"/>
          </w:rPr>
          <w:t>https://www.cedd.net/redis/index.php/redis/article/view/370/pdf_99</w:t>
        </w:r>
      </w:hyperlink>
      <w:r w:rsidRPr="00B446F1">
        <w:rPr>
          <w:rFonts w:cs="Arial"/>
          <w:lang w:val="es-ES"/>
        </w:rPr>
        <w:t xml:space="preserve">. </w:t>
      </w:r>
    </w:p>
  </w:footnote>
  <w:footnote w:id="40">
    <w:p w14:paraId="2283E21E" w14:textId="4E2DA575" w:rsidR="008B6471" w:rsidRPr="00B446F1" w:rsidRDefault="008B6471" w:rsidP="002A111A">
      <w:pPr>
        <w:ind w:left="284" w:hanging="284"/>
        <w:jc w:val="left"/>
        <w:rPr>
          <w:rFonts w:cs="Arial"/>
          <w:sz w:val="20"/>
          <w:lang w:val="es-ES"/>
        </w:rPr>
      </w:pPr>
      <w:r w:rsidRPr="00B446F1">
        <w:rPr>
          <w:rStyle w:val="FootnoteReference"/>
          <w:rFonts w:cs="Arial"/>
        </w:rPr>
        <w:footnoteRef/>
      </w:r>
      <w:r w:rsidRPr="00B446F1">
        <w:rPr>
          <w:rFonts w:cs="Arial"/>
          <w:sz w:val="20"/>
          <w:lang w:val="es-ES"/>
        </w:rPr>
        <w:t xml:space="preserve"> </w:t>
      </w:r>
      <w:r>
        <w:rPr>
          <w:rFonts w:cs="Arial"/>
          <w:sz w:val="20"/>
          <w:lang w:val="es-ES"/>
        </w:rPr>
        <w:tab/>
      </w:r>
      <w:r w:rsidRPr="00B446F1">
        <w:rPr>
          <w:rFonts w:cs="Arial"/>
          <w:sz w:val="20"/>
          <w:lang w:val="es-ES"/>
        </w:rPr>
        <w:t xml:space="preserve">Navas Macho, P., Verdugo Alonso, M.A., Martínez Torres, S., Sainz </w:t>
      </w:r>
      <w:proofErr w:type="spellStart"/>
      <w:r w:rsidRPr="00B446F1">
        <w:rPr>
          <w:rFonts w:cs="Arial"/>
          <w:sz w:val="20"/>
          <w:lang w:val="es-ES"/>
        </w:rPr>
        <w:t>Modinos</w:t>
      </w:r>
      <w:proofErr w:type="spellEnd"/>
      <w:r w:rsidRPr="00B446F1">
        <w:rPr>
          <w:rFonts w:cs="Arial"/>
          <w:sz w:val="20"/>
          <w:lang w:val="es-ES"/>
        </w:rPr>
        <w:t>, F., &amp; Aza Hernández, A. (2017). Derechos y calidad de vida en personas con discapacidad intelectual y mayores necesidades de apoyo [</w:t>
      </w:r>
      <w:proofErr w:type="spellStart"/>
      <w:r w:rsidRPr="00B446F1">
        <w:rPr>
          <w:rFonts w:cs="Arial"/>
          <w:sz w:val="20"/>
          <w:lang w:val="es-ES"/>
        </w:rPr>
        <w:t>Rights</w:t>
      </w:r>
      <w:proofErr w:type="spellEnd"/>
      <w:r w:rsidRPr="00B446F1">
        <w:rPr>
          <w:rFonts w:cs="Arial"/>
          <w:sz w:val="20"/>
          <w:lang w:val="es-ES"/>
        </w:rPr>
        <w:t xml:space="preserve"> and </w:t>
      </w:r>
      <w:proofErr w:type="spellStart"/>
      <w:r w:rsidRPr="00B446F1">
        <w:rPr>
          <w:rFonts w:cs="Arial"/>
          <w:sz w:val="20"/>
          <w:lang w:val="es-ES"/>
        </w:rPr>
        <w:t>quality</w:t>
      </w:r>
      <w:proofErr w:type="spellEnd"/>
      <w:r w:rsidRPr="00B446F1">
        <w:rPr>
          <w:rFonts w:cs="Arial"/>
          <w:sz w:val="20"/>
          <w:lang w:val="es-ES"/>
        </w:rPr>
        <w:t xml:space="preserve"> </w:t>
      </w:r>
      <w:proofErr w:type="spellStart"/>
      <w:r w:rsidRPr="00B446F1">
        <w:rPr>
          <w:rFonts w:cs="Arial"/>
          <w:sz w:val="20"/>
          <w:lang w:val="es-ES"/>
        </w:rPr>
        <w:t>of</w:t>
      </w:r>
      <w:proofErr w:type="spellEnd"/>
      <w:r w:rsidRPr="00B446F1">
        <w:rPr>
          <w:rFonts w:cs="Arial"/>
          <w:sz w:val="20"/>
          <w:lang w:val="es-ES"/>
        </w:rPr>
        <w:t xml:space="preserve"> </w:t>
      </w:r>
      <w:proofErr w:type="spellStart"/>
      <w:r w:rsidRPr="00B446F1">
        <w:rPr>
          <w:rFonts w:cs="Arial"/>
          <w:sz w:val="20"/>
          <w:lang w:val="es-ES"/>
        </w:rPr>
        <w:t>life</w:t>
      </w:r>
      <w:proofErr w:type="spellEnd"/>
      <w:r w:rsidRPr="00B446F1">
        <w:rPr>
          <w:rFonts w:cs="Arial"/>
          <w:sz w:val="20"/>
          <w:lang w:val="es-ES"/>
        </w:rPr>
        <w:t xml:space="preserve"> </w:t>
      </w:r>
      <w:proofErr w:type="spellStart"/>
      <w:r w:rsidRPr="00B446F1">
        <w:rPr>
          <w:rFonts w:cs="Arial"/>
          <w:sz w:val="20"/>
          <w:lang w:val="es-ES"/>
        </w:rPr>
        <w:t>of</w:t>
      </w:r>
      <w:proofErr w:type="spellEnd"/>
      <w:r w:rsidRPr="00B446F1">
        <w:rPr>
          <w:rFonts w:cs="Arial"/>
          <w:sz w:val="20"/>
          <w:lang w:val="es-ES"/>
        </w:rPr>
        <w:t xml:space="preserve"> </w:t>
      </w:r>
      <w:proofErr w:type="spellStart"/>
      <w:r w:rsidRPr="00B446F1">
        <w:rPr>
          <w:rFonts w:cs="Arial"/>
          <w:sz w:val="20"/>
          <w:lang w:val="es-ES"/>
        </w:rPr>
        <w:t>individuals</w:t>
      </w:r>
      <w:proofErr w:type="spellEnd"/>
      <w:r w:rsidRPr="00B446F1">
        <w:rPr>
          <w:rFonts w:cs="Arial"/>
          <w:sz w:val="20"/>
          <w:lang w:val="es-ES"/>
        </w:rPr>
        <w:t xml:space="preserve"> </w:t>
      </w:r>
      <w:proofErr w:type="spellStart"/>
      <w:r w:rsidRPr="00B446F1">
        <w:rPr>
          <w:rFonts w:cs="Arial"/>
          <w:sz w:val="20"/>
          <w:lang w:val="es-ES"/>
        </w:rPr>
        <w:t>with</w:t>
      </w:r>
      <w:proofErr w:type="spellEnd"/>
      <w:r w:rsidRPr="00B446F1">
        <w:rPr>
          <w:rFonts w:cs="Arial"/>
          <w:sz w:val="20"/>
          <w:lang w:val="es-ES"/>
        </w:rPr>
        <w:t xml:space="preserve"> </w:t>
      </w:r>
      <w:proofErr w:type="spellStart"/>
      <w:r w:rsidRPr="00B446F1">
        <w:rPr>
          <w:rFonts w:cs="Arial"/>
          <w:sz w:val="20"/>
          <w:lang w:val="es-ES"/>
        </w:rPr>
        <w:t>intellectual</w:t>
      </w:r>
      <w:proofErr w:type="spellEnd"/>
      <w:r w:rsidRPr="00B446F1">
        <w:rPr>
          <w:rFonts w:cs="Arial"/>
          <w:sz w:val="20"/>
          <w:lang w:val="es-ES"/>
        </w:rPr>
        <w:t xml:space="preserve"> </w:t>
      </w:r>
      <w:proofErr w:type="spellStart"/>
      <w:r w:rsidRPr="00B446F1">
        <w:rPr>
          <w:rFonts w:cs="Arial"/>
          <w:sz w:val="20"/>
          <w:lang w:val="es-ES"/>
        </w:rPr>
        <w:t>disability</w:t>
      </w:r>
      <w:proofErr w:type="spellEnd"/>
      <w:r w:rsidRPr="00B446F1">
        <w:rPr>
          <w:rFonts w:cs="Arial"/>
          <w:sz w:val="20"/>
          <w:lang w:val="es-ES"/>
        </w:rPr>
        <w:t xml:space="preserve"> and </w:t>
      </w:r>
      <w:proofErr w:type="spellStart"/>
      <w:r w:rsidRPr="00B446F1">
        <w:rPr>
          <w:rFonts w:cs="Arial"/>
          <w:sz w:val="20"/>
          <w:lang w:val="es-ES"/>
        </w:rPr>
        <w:t>extensive</w:t>
      </w:r>
      <w:proofErr w:type="spellEnd"/>
      <w:r w:rsidRPr="00B446F1">
        <w:rPr>
          <w:rFonts w:cs="Arial"/>
          <w:sz w:val="20"/>
          <w:lang w:val="es-ES"/>
        </w:rPr>
        <w:t xml:space="preserve"> </w:t>
      </w:r>
      <w:proofErr w:type="spellStart"/>
      <w:r w:rsidRPr="00B446F1">
        <w:rPr>
          <w:rFonts w:cs="Arial"/>
          <w:sz w:val="20"/>
          <w:lang w:val="es-ES"/>
        </w:rPr>
        <w:t>support</w:t>
      </w:r>
      <w:proofErr w:type="spellEnd"/>
      <w:r w:rsidRPr="00B446F1">
        <w:rPr>
          <w:rFonts w:cs="Arial"/>
          <w:sz w:val="20"/>
          <w:lang w:val="es-ES"/>
        </w:rPr>
        <w:t xml:space="preserve"> </w:t>
      </w:r>
      <w:proofErr w:type="spellStart"/>
      <w:r w:rsidRPr="00B446F1">
        <w:rPr>
          <w:rFonts w:cs="Arial"/>
          <w:sz w:val="20"/>
          <w:lang w:val="es-ES"/>
        </w:rPr>
        <w:t>needs</w:t>
      </w:r>
      <w:proofErr w:type="spellEnd"/>
      <w:r w:rsidRPr="00B446F1">
        <w:rPr>
          <w:rFonts w:cs="Arial"/>
          <w:sz w:val="20"/>
          <w:lang w:val="es-ES"/>
        </w:rPr>
        <w:t xml:space="preserve">]. Siglo Cero, 48 (4), 7-66. </w:t>
      </w:r>
      <w:proofErr w:type="spellStart"/>
      <w:r w:rsidRPr="00B446F1">
        <w:rPr>
          <w:rFonts w:cs="Arial"/>
          <w:sz w:val="20"/>
          <w:lang w:val="es-ES"/>
        </w:rPr>
        <w:t>Available</w:t>
      </w:r>
      <w:proofErr w:type="spellEnd"/>
      <w:r w:rsidRPr="00B446F1">
        <w:rPr>
          <w:rFonts w:cs="Arial"/>
          <w:sz w:val="20"/>
          <w:lang w:val="es-ES"/>
        </w:rPr>
        <w:t xml:space="preserve"> at: </w:t>
      </w:r>
      <w:hyperlink r:id="rId41" w:history="1">
        <w:r w:rsidRPr="00B446F1">
          <w:rPr>
            <w:rStyle w:val="Hyperlink"/>
            <w:rFonts w:cs="Arial"/>
            <w:sz w:val="20"/>
            <w:lang w:val="es-ES"/>
          </w:rPr>
          <w:t>http://revistas.usal.es/index.php/0210-1696/article/download/scero2017484766/18532</w:t>
        </w:r>
      </w:hyperlink>
      <w:r w:rsidRPr="00B446F1">
        <w:rPr>
          <w:rFonts w:cs="Arial"/>
          <w:sz w:val="20"/>
          <w:lang w:val="es-ES"/>
        </w:rPr>
        <w:t xml:space="preserve">. </w:t>
      </w:r>
    </w:p>
  </w:footnote>
  <w:footnote w:id="41">
    <w:p w14:paraId="4000281D" w14:textId="17251109" w:rsidR="008B6471" w:rsidRPr="00B446F1" w:rsidRDefault="008B6471" w:rsidP="00A32975">
      <w:pPr>
        <w:ind w:left="284" w:hanging="284"/>
        <w:jc w:val="left"/>
        <w:rPr>
          <w:rFonts w:cs="Arial"/>
          <w:sz w:val="20"/>
        </w:rPr>
      </w:pPr>
      <w:r w:rsidRPr="00B446F1">
        <w:rPr>
          <w:rStyle w:val="FootnoteReference"/>
          <w:rFonts w:cs="Arial"/>
        </w:rPr>
        <w:footnoteRef/>
      </w:r>
      <w:r>
        <w:rPr>
          <w:rFonts w:cs="Arial"/>
          <w:sz w:val="20"/>
          <w:lang w:val="en-US"/>
        </w:rPr>
        <w:t xml:space="preserve"> </w:t>
      </w:r>
      <w:r>
        <w:rPr>
          <w:rFonts w:cs="Arial"/>
          <w:sz w:val="20"/>
          <w:lang w:val="en-US"/>
        </w:rPr>
        <w:tab/>
      </w:r>
      <w:r w:rsidRPr="00B446F1">
        <w:rPr>
          <w:rFonts w:cs="Arial"/>
          <w:sz w:val="20"/>
          <w:lang w:val="en-US"/>
        </w:rPr>
        <w:t xml:space="preserve">UN CRPD (2017). List of issues prior to the submission of the combined second and third periodic reports of Spain. Available at: </w:t>
      </w:r>
      <w:hyperlink r:id="rId42" w:history="1">
        <w:r w:rsidRPr="00C202A6">
          <w:rPr>
            <w:rStyle w:val="Hyperlink"/>
            <w:rFonts w:cs="Arial"/>
            <w:sz w:val="20"/>
          </w:rPr>
          <w:t>https://documents-dds</w:t>
        </w:r>
        <w:r w:rsidRPr="00C202A6">
          <w:rPr>
            <w:rStyle w:val="Hyperlink"/>
            <w:rFonts w:cs="Arial"/>
            <w:sz w:val="20"/>
          </w:rPr>
          <w:noBreakHyphen/>
          <w:t>ny.un.org/doc/UNDOC/GEN/G17/107/99/PDF/G1710799.pdf?OpenElement</w:t>
        </w:r>
      </w:hyperlink>
      <w:r w:rsidRPr="00B446F1">
        <w:rPr>
          <w:rFonts w:cs="Arial"/>
          <w:sz w:val="20"/>
          <w:lang w:val="es-ES"/>
        </w:rPr>
        <w:t>.</w:t>
      </w:r>
    </w:p>
  </w:footnote>
  <w:footnote w:id="42">
    <w:p w14:paraId="610FAD7C" w14:textId="05D94B84" w:rsidR="008B6471" w:rsidRPr="00B446F1" w:rsidRDefault="008B6471" w:rsidP="00A22C73">
      <w:pPr>
        <w:pStyle w:val="FootnoteText"/>
        <w:ind w:left="284" w:hanging="284"/>
        <w:jc w:val="left"/>
        <w:rPr>
          <w:rFonts w:cs="Arial"/>
        </w:rPr>
      </w:pPr>
      <w:r w:rsidRPr="00B446F1">
        <w:rPr>
          <w:rStyle w:val="FootnoteReference"/>
          <w:rFonts w:cs="Arial"/>
        </w:rPr>
        <w:footnoteRef/>
      </w:r>
      <w:r>
        <w:rPr>
          <w:rFonts w:cs="Arial"/>
          <w:lang w:val="en-US"/>
        </w:rPr>
        <w:t xml:space="preserve"> </w:t>
      </w:r>
      <w:r>
        <w:rPr>
          <w:rFonts w:cs="Arial"/>
          <w:lang w:val="en-US"/>
        </w:rPr>
        <w:tab/>
      </w:r>
      <w:r w:rsidRPr="00B446F1">
        <w:rPr>
          <w:rFonts w:cs="Arial"/>
          <w:lang w:val="en-US"/>
        </w:rPr>
        <w:t xml:space="preserve">UN. CRPD. (2017). List of issues prior to the submission of the combined second and third periodic reports of Spain. Available at: </w:t>
      </w:r>
      <w:hyperlink r:id="rId43" w:history="1">
        <w:r w:rsidRPr="00B446F1">
          <w:rPr>
            <w:rStyle w:val="Hyperlink"/>
            <w:rFonts w:cs="Arial"/>
          </w:rPr>
          <w:t>https://documents-dds-ny.un.org/doc/UNDOC/GEN/G17/107/99/PDF/G1710799.pdf?OpenElement</w:t>
        </w:r>
      </w:hyperlink>
      <w:r w:rsidRPr="00B446F1">
        <w:rPr>
          <w:rFonts w:cs="Arial"/>
          <w:lang w:val="es-ES"/>
        </w:rPr>
        <w:t>.</w:t>
      </w:r>
      <w:r w:rsidRPr="00B446F1">
        <w:rPr>
          <w:rFonts w:cs="Arial"/>
        </w:rPr>
        <w:t xml:space="preserve"> </w:t>
      </w:r>
    </w:p>
  </w:footnote>
  <w:footnote w:id="43">
    <w:p w14:paraId="7E179D0D" w14:textId="3E234104" w:rsidR="008B6471" w:rsidRPr="00B446F1" w:rsidRDefault="008B6471" w:rsidP="00A32975">
      <w:pPr>
        <w:ind w:left="284" w:hanging="284"/>
        <w:jc w:val="left"/>
        <w:rPr>
          <w:rFonts w:cs="Arial"/>
          <w:sz w:val="20"/>
          <w:lang w:val="en-US"/>
        </w:rPr>
      </w:pPr>
      <w:r w:rsidRPr="00B446F1">
        <w:rPr>
          <w:rStyle w:val="FootnoteReference"/>
          <w:rFonts w:eastAsiaTheme="majorEastAsia" w:cs="Arial"/>
        </w:rPr>
        <w:footnoteRef/>
      </w:r>
      <w:r w:rsidRPr="00B446F1">
        <w:rPr>
          <w:rFonts w:cs="Arial"/>
          <w:sz w:val="20"/>
          <w:lang w:val="es-ES"/>
        </w:rPr>
        <w:t xml:space="preserve"> </w:t>
      </w:r>
      <w:r>
        <w:rPr>
          <w:rFonts w:cs="Arial"/>
          <w:sz w:val="20"/>
          <w:lang w:val="es-ES"/>
        </w:rPr>
        <w:tab/>
      </w:r>
      <w:r w:rsidRPr="00B446F1">
        <w:rPr>
          <w:rFonts w:cs="Arial"/>
          <w:sz w:val="20"/>
          <w:lang w:val="es-ES"/>
        </w:rPr>
        <w:t>UN CRPD (2018). Informes periódicos segundo y tercero combinados que España debía presentar</w:t>
      </w:r>
      <w:r>
        <w:rPr>
          <w:rFonts w:cs="Arial"/>
          <w:sz w:val="20"/>
          <w:lang w:val="es-ES"/>
        </w:rPr>
        <w:t xml:space="preserve"> </w:t>
      </w:r>
      <w:r w:rsidRPr="00B446F1">
        <w:rPr>
          <w:rFonts w:cs="Arial"/>
          <w:sz w:val="20"/>
          <w:lang w:val="es-ES"/>
        </w:rPr>
        <w:t xml:space="preserve">en 2018 en virtud del artículo 35 de la Convención. </w:t>
      </w:r>
      <w:r w:rsidRPr="00B446F1">
        <w:rPr>
          <w:rFonts w:cs="Arial"/>
          <w:sz w:val="20"/>
        </w:rPr>
        <w:t xml:space="preserve">Available at: </w:t>
      </w:r>
      <w:hyperlink r:id="rId44" w:history="1">
        <w:r w:rsidRPr="00B446F1">
          <w:rPr>
            <w:rStyle w:val="Hyperlink"/>
            <w:rFonts w:cs="Arial"/>
            <w:sz w:val="20"/>
          </w:rPr>
          <w:t>http://docstore.ohchr.org/SelfServices/FilesHandler.ashx?enc=6QkG1d%2fPPRiCAqhKb7yhslxq2MulDp%2fqMKQ6SGOn0%2fM4rP4Sn04ITU2hnYsbysiJg%2fxfpTWmXHihRhuR7jOTgZj9F0rGUx5uDEEPk8d0jgsBRMl07efi1K3EB%2f1Pr1%2b1</w:t>
        </w:r>
      </w:hyperlink>
      <w:r w:rsidRPr="00B446F1">
        <w:rPr>
          <w:rFonts w:cs="Arial"/>
          <w:sz w:val="20"/>
          <w:lang w:val="es-ES"/>
        </w:rPr>
        <w:t>.</w:t>
      </w:r>
      <w:r w:rsidRPr="00B446F1">
        <w:rPr>
          <w:rFonts w:cs="Arial"/>
          <w:sz w:val="20"/>
        </w:rPr>
        <w:t xml:space="preserve"> </w:t>
      </w:r>
    </w:p>
  </w:footnote>
  <w:footnote w:id="44">
    <w:p w14:paraId="3A17639B" w14:textId="753A9992" w:rsidR="008B6471" w:rsidRPr="00B446F1" w:rsidRDefault="008B6471" w:rsidP="00A32975">
      <w:pPr>
        <w:ind w:left="284" w:hanging="284"/>
        <w:jc w:val="left"/>
        <w:rPr>
          <w:rFonts w:cs="Arial"/>
          <w:sz w:val="20"/>
          <w:lang w:val="en-US"/>
        </w:rPr>
      </w:pPr>
      <w:r w:rsidRPr="00B446F1">
        <w:rPr>
          <w:rStyle w:val="FootnoteReference"/>
          <w:rFonts w:eastAsiaTheme="majorEastAsia" w:cs="Arial"/>
        </w:rPr>
        <w:footnoteRef/>
      </w:r>
      <w:r w:rsidRPr="00B446F1">
        <w:rPr>
          <w:rFonts w:cs="Arial"/>
          <w:sz w:val="20"/>
          <w:lang w:val="es-ES"/>
        </w:rPr>
        <w:t xml:space="preserve"> </w:t>
      </w:r>
      <w:r>
        <w:rPr>
          <w:rFonts w:cs="Arial"/>
          <w:sz w:val="20"/>
          <w:lang w:val="es-ES"/>
        </w:rPr>
        <w:tab/>
      </w:r>
      <w:r w:rsidRPr="00B446F1">
        <w:rPr>
          <w:rFonts w:cs="Arial"/>
          <w:sz w:val="20"/>
          <w:lang w:val="es-ES"/>
        </w:rPr>
        <w:t>UN</w:t>
      </w:r>
      <w:r w:rsidR="0020410D">
        <w:rPr>
          <w:rFonts w:cs="Arial"/>
          <w:sz w:val="20"/>
          <w:lang w:val="es-ES"/>
        </w:rPr>
        <w:t xml:space="preserve"> </w:t>
      </w:r>
      <w:r w:rsidRPr="00B446F1">
        <w:rPr>
          <w:rFonts w:cs="Arial"/>
          <w:sz w:val="20"/>
          <w:lang w:val="es-ES"/>
        </w:rPr>
        <w:t>CRPD (2018). Informes periódicos segundo y tercero combinados que España debía presentar</w:t>
      </w:r>
      <w:r>
        <w:rPr>
          <w:rFonts w:cs="Arial"/>
          <w:sz w:val="20"/>
          <w:lang w:val="es-ES"/>
        </w:rPr>
        <w:t xml:space="preserve"> </w:t>
      </w:r>
      <w:r w:rsidRPr="00B446F1">
        <w:rPr>
          <w:rFonts w:cs="Arial"/>
          <w:sz w:val="20"/>
          <w:lang w:val="es-ES"/>
        </w:rPr>
        <w:t xml:space="preserve">en 2018 en virtud del artículo 35 de la Convención. </w:t>
      </w:r>
      <w:r w:rsidRPr="00B446F1">
        <w:rPr>
          <w:rFonts w:cs="Arial"/>
          <w:sz w:val="20"/>
        </w:rPr>
        <w:t xml:space="preserve">Available at: </w:t>
      </w:r>
      <w:hyperlink r:id="rId45" w:history="1">
        <w:r w:rsidRPr="00B446F1">
          <w:rPr>
            <w:rStyle w:val="Hyperlink"/>
            <w:rFonts w:cs="Arial"/>
            <w:sz w:val="20"/>
          </w:rPr>
          <w:t>http://docstore.ohchr.org/SelfServices/FilesHandler.ashx?enc=6QkG1d%2fPPRiCAqhKb7yhslxq2MulDp%2fqMKQ6SGOn0%2fM4rP4Sn04ITU2hnYsbysiJg%2fxfpTWmXHihRhuR7jOTgZj9F0rGUx5uDEEPk8d0jgsBRMl07efi1K3EB%2f1Pr1%2b1</w:t>
        </w:r>
      </w:hyperlink>
      <w:r w:rsidRPr="00B446F1">
        <w:rPr>
          <w:rFonts w:cs="Arial"/>
          <w:sz w:val="20"/>
          <w:lang w:val="es-ES"/>
        </w:rPr>
        <w:t>.</w:t>
      </w:r>
      <w:r>
        <w:rPr>
          <w:rFonts w:cs="Arial"/>
        </w:rPr>
        <w:t xml:space="preserve"> </w:t>
      </w:r>
    </w:p>
  </w:footnote>
  <w:footnote w:id="45">
    <w:p w14:paraId="3886610E" w14:textId="03069D5B" w:rsidR="008B6471" w:rsidRPr="00B446F1" w:rsidRDefault="008B6471" w:rsidP="00A32975">
      <w:pPr>
        <w:ind w:left="284" w:hanging="284"/>
        <w:jc w:val="left"/>
        <w:rPr>
          <w:rFonts w:cs="Arial"/>
          <w:sz w:val="20"/>
        </w:rPr>
      </w:pPr>
      <w:r w:rsidRPr="00B446F1">
        <w:rPr>
          <w:rStyle w:val="FootnoteReference"/>
          <w:rFonts w:cs="Arial"/>
        </w:rPr>
        <w:footnoteRef/>
      </w:r>
      <w:bookmarkStart w:id="48" w:name="_Hlk536559760"/>
      <w:r>
        <w:rPr>
          <w:rFonts w:cs="Arial"/>
          <w:sz w:val="20"/>
          <w:lang w:val="en-US"/>
        </w:rPr>
        <w:t xml:space="preserve"> </w:t>
      </w:r>
      <w:r>
        <w:rPr>
          <w:rFonts w:cs="Arial"/>
          <w:sz w:val="20"/>
          <w:lang w:val="en-US"/>
        </w:rPr>
        <w:tab/>
      </w:r>
      <w:r w:rsidRPr="00B446F1">
        <w:rPr>
          <w:rFonts w:cs="Arial"/>
          <w:sz w:val="20"/>
          <w:lang w:val="en-US"/>
        </w:rPr>
        <w:t>UN</w:t>
      </w:r>
      <w:r w:rsidR="0020410D">
        <w:rPr>
          <w:rFonts w:cs="Arial"/>
          <w:sz w:val="20"/>
          <w:lang w:val="en-US"/>
        </w:rPr>
        <w:t xml:space="preserve"> </w:t>
      </w:r>
      <w:r w:rsidRPr="00B446F1">
        <w:rPr>
          <w:rFonts w:cs="Arial"/>
          <w:sz w:val="20"/>
          <w:lang w:val="en-US"/>
        </w:rPr>
        <w:t xml:space="preserve">CRPD (2011). Consideration of reports submitted by States parties under </w:t>
      </w:r>
      <w:r w:rsidR="00337903">
        <w:rPr>
          <w:rFonts w:cs="Arial"/>
          <w:sz w:val="20"/>
          <w:lang w:val="en-US"/>
        </w:rPr>
        <w:t>A</w:t>
      </w:r>
      <w:r w:rsidRPr="00B446F1">
        <w:rPr>
          <w:rFonts w:cs="Arial"/>
          <w:sz w:val="20"/>
          <w:lang w:val="en-US"/>
        </w:rPr>
        <w:t xml:space="preserve">rticle 35 of the Convention. Concluding observations of the Committee on the Rights of Persons with Disabilities. Spain. Available at: </w:t>
      </w:r>
      <w:hyperlink r:id="rId46" w:history="1">
        <w:r w:rsidRPr="00B446F1">
          <w:rPr>
            <w:rStyle w:val="Hyperlink"/>
            <w:rFonts w:eastAsiaTheme="majorEastAsia" w:cs="Arial"/>
            <w:bCs/>
            <w:sz w:val="20"/>
          </w:rPr>
          <w:t>http://docstore.ohchr.org/SelfServices/FilesHandler.ashx?enc=6QkG1d%2FPPRiCAqhKb7yhslxq2MulDp%2FqMKQ6SGOn0%2FNZ5trZrfgNmKdTjE%2FScMKF96xMrtyzhDx7aguCpqdK4xQVGCY502yRGHBFyeVZXNw00SiVNraxD5auFDv%2FVv2m</w:t>
        </w:r>
        <w:bookmarkEnd w:id="48"/>
      </w:hyperlink>
      <w:r w:rsidRPr="00B446F1">
        <w:rPr>
          <w:rFonts w:cs="Arial"/>
          <w:sz w:val="20"/>
          <w:lang w:val="es-ES"/>
        </w:rPr>
        <w:t>.</w:t>
      </w:r>
    </w:p>
  </w:footnote>
  <w:footnote w:id="46">
    <w:p w14:paraId="2BDB6770" w14:textId="47D933C3" w:rsidR="008B6471" w:rsidRPr="00B446F1" w:rsidRDefault="008B6471" w:rsidP="00A22C73">
      <w:pPr>
        <w:pStyle w:val="FootnoteText"/>
        <w:ind w:left="284" w:hanging="284"/>
        <w:jc w:val="left"/>
        <w:rPr>
          <w:rFonts w:cs="Arial"/>
        </w:rPr>
      </w:pPr>
      <w:r w:rsidRPr="00B446F1">
        <w:rPr>
          <w:rStyle w:val="FootnoteReference"/>
          <w:rFonts w:cs="Arial"/>
        </w:rPr>
        <w:footnoteRef/>
      </w:r>
      <w:r w:rsidRPr="00B446F1">
        <w:rPr>
          <w:rFonts w:cs="Arial"/>
        </w:rPr>
        <w:t xml:space="preserve"> </w:t>
      </w:r>
      <w:r>
        <w:rPr>
          <w:rFonts w:cs="Arial"/>
        </w:rPr>
        <w:tab/>
      </w:r>
      <w:r w:rsidRPr="00B446F1">
        <w:rPr>
          <w:rFonts w:cs="Arial"/>
        </w:rPr>
        <w:t>Interlinks, Health systems and long-term care for older people in Europe. Modelling the interfaces and links between prevention, rehabilitation, quality of services and informal care. Available at:</w:t>
      </w:r>
      <w:r>
        <w:rPr>
          <w:rFonts w:cs="Arial"/>
        </w:rPr>
        <w:t xml:space="preserve"> </w:t>
      </w:r>
      <w:hyperlink r:id="rId47" w:history="1">
        <w:r w:rsidRPr="00B446F1">
          <w:rPr>
            <w:rStyle w:val="Hyperlink"/>
            <w:rFonts w:cs="Arial"/>
          </w:rPr>
          <w:t>http://interlinks.euro.centre.org/countries/spain</w:t>
        </w:r>
      </w:hyperlink>
      <w:r w:rsidRPr="00B446F1">
        <w:rPr>
          <w:rFonts w:cs="Arial"/>
          <w:lang w:val="es-ES"/>
        </w:rPr>
        <w:t>.</w:t>
      </w:r>
      <w:r w:rsidRPr="00B446F1">
        <w:rPr>
          <w:rFonts w:cs="Arial"/>
        </w:rPr>
        <w:t xml:space="preserve"> </w:t>
      </w:r>
    </w:p>
  </w:footnote>
  <w:footnote w:id="47">
    <w:p w14:paraId="7B668A72" w14:textId="081227FC" w:rsidR="008B6471" w:rsidRPr="00B446F1" w:rsidRDefault="008B6471" w:rsidP="00A22C73">
      <w:pPr>
        <w:pStyle w:val="FootnoteText"/>
        <w:ind w:left="284" w:hanging="284"/>
        <w:jc w:val="left"/>
        <w:rPr>
          <w:rFonts w:cs="Arial"/>
        </w:rPr>
      </w:pPr>
      <w:r w:rsidRPr="00B446F1">
        <w:rPr>
          <w:rStyle w:val="FootnoteReference"/>
          <w:rFonts w:cs="Arial"/>
        </w:rPr>
        <w:footnoteRef/>
      </w:r>
      <w:r w:rsidRPr="00B446F1">
        <w:rPr>
          <w:rFonts w:cs="Arial"/>
        </w:rPr>
        <w:t xml:space="preserve"> </w:t>
      </w:r>
      <w:r>
        <w:rPr>
          <w:rFonts w:cs="Arial"/>
        </w:rPr>
        <w:tab/>
      </w:r>
      <w:r w:rsidRPr="00B446F1">
        <w:rPr>
          <w:rFonts w:cs="Arial"/>
        </w:rPr>
        <w:t xml:space="preserve">See Pathways for long term care provision in Spain, at: </w:t>
      </w:r>
      <w:hyperlink r:id="rId48" w:history="1">
        <w:r w:rsidRPr="00B446F1">
          <w:rPr>
            <w:rStyle w:val="Hyperlink"/>
            <w:rFonts w:cs="Arial"/>
          </w:rPr>
          <w:t>http://interlinks.euro.centre.org/sites/default/files/ES_Mrs.LTCarerev.pdf</w:t>
        </w:r>
      </w:hyperlink>
      <w:r w:rsidRPr="00B446F1">
        <w:rPr>
          <w:rFonts w:cs="Arial"/>
          <w:lang w:val="es-ES"/>
        </w:rPr>
        <w:t>.</w:t>
      </w:r>
      <w:r w:rsidRPr="00B446F1">
        <w:rPr>
          <w:rFonts w:cs="Arial"/>
        </w:rPr>
        <w:t xml:space="preserve"> </w:t>
      </w:r>
    </w:p>
  </w:footnote>
  <w:footnote w:id="48">
    <w:p w14:paraId="34C5AE27" w14:textId="0B3CFF7E" w:rsidR="008B6471" w:rsidRPr="00B446F1" w:rsidRDefault="008B6471" w:rsidP="00A22C73">
      <w:pPr>
        <w:pStyle w:val="FootnoteText"/>
        <w:ind w:left="284" w:hanging="284"/>
        <w:jc w:val="left"/>
        <w:rPr>
          <w:rFonts w:cs="Arial"/>
          <w:lang w:val="en-US"/>
        </w:rPr>
      </w:pPr>
      <w:r w:rsidRPr="00B446F1">
        <w:rPr>
          <w:rStyle w:val="FootnoteReference"/>
          <w:rFonts w:cs="Arial"/>
        </w:rPr>
        <w:footnoteRef/>
      </w:r>
      <w:r w:rsidRPr="00B446F1">
        <w:rPr>
          <w:rFonts w:cs="Arial"/>
          <w:lang w:val="en-US"/>
        </w:rPr>
        <w:t xml:space="preserve"> </w:t>
      </w:r>
      <w:r>
        <w:rPr>
          <w:rFonts w:cs="Arial"/>
          <w:lang w:val="en-US"/>
        </w:rPr>
        <w:tab/>
      </w:r>
      <w:hyperlink r:id="rId49" w:history="1">
        <w:r w:rsidRPr="00C202A6">
          <w:rPr>
            <w:rStyle w:val="Hyperlink"/>
            <w:rFonts w:eastAsiaTheme="majorEastAsia" w:cs="Arial"/>
            <w:lang w:val="en-US"/>
          </w:rPr>
          <w:t>http://www.coface-eu.org/category/disability/deinstitutionalisation/</w:t>
        </w:r>
      </w:hyperlink>
      <w:r w:rsidRPr="00B446F1">
        <w:rPr>
          <w:rFonts w:cs="Arial"/>
          <w:lang w:val="es-ES"/>
        </w:rPr>
        <w:t>.</w:t>
      </w:r>
    </w:p>
  </w:footnote>
  <w:footnote w:id="49">
    <w:p w14:paraId="1EB6D906" w14:textId="6409100A" w:rsidR="008B6471" w:rsidRPr="00B446F1" w:rsidRDefault="008B6471" w:rsidP="00A22C73">
      <w:pPr>
        <w:pStyle w:val="FootnoteText"/>
        <w:ind w:left="284" w:hanging="284"/>
        <w:jc w:val="left"/>
        <w:rPr>
          <w:rFonts w:cs="Arial"/>
          <w:lang w:val="en-US"/>
        </w:rPr>
      </w:pPr>
      <w:r w:rsidRPr="00B446F1">
        <w:rPr>
          <w:rStyle w:val="FootnoteReference"/>
          <w:rFonts w:cs="Arial"/>
        </w:rPr>
        <w:footnoteRef/>
      </w:r>
      <w:r w:rsidRPr="00B446F1">
        <w:rPr>
          <w:rFonts w:cs="Arial"/>
          <w:lang w:val="en-US"/>
        </w:rPr>
        <w:t xml:space="preserve"> </w:t>
      </w:r>
      <w:r>
        <w:rPr>
          <w:rFonts w:cs="Arial"/>
          <w:lang w:val="en-US"/>
        </w:rPr>
        <w:tab/>
      </w:r>
      <w:hyperlink r:id="rId50" w:history="1">
        <w:r w:rsidRPr="00B446F1">
          <w:rPr>
            <w:rStyle w:val="Hyperlink"/>
            <w:rFonts w:eastAsiaTheme="majorEastAsia" w:cs="Arial"/>
            <w:lang w:val="en-US"/>
          </w:rPr>
          <w:t>https://www.easpd.eu/en</w:t>
        </w:r>
      </w:hyperlink>
      <w:r w:rsidRPr="00B446F1">
        <w:rPr>
          <w:rFonts w:cs="Arial"/>
          <w:lang w:val="es-ES"/>
        </w:rPr>
        <w:t>.</w:t>
      </w:r>
    </w:p>
  </w:footnote>
  <w:footnote w:id="50">
    <w:p w14:paraId="67B08043" w14:textId="3826131E" w:rsidR="008B6471" w:rsidRPr="00B446F1" w:rsidRDefault="008B6471" w:rsidP="00A22C73">
      <w:pPr>
        <w:pStyle w:val="FootnoteText"/>
        <w:ind w:left="284" w:hanging="284"/>
        <w:jc w:val="left"/>
        <w:rPr>
          <w:rFonts w:cs="Arial"/>
          <w:lang w:val="en-US"/>
        </w:rPr>
      </w:pPr>
      <w:r w:rsidRPr="00B446F1">
        <w:rPr>
          <w:rStyle w:val="FootnoteReference"/>
          <w:rFonts w:cs="Arial"/>
        </w:rPr>
        <w:footnoteRef/>
      </w:r>
      <w:r w:rsidRPr="00B446F1">
        <w:rPr>
          <w:rFonts w:cs="Arial"/>
          <w:lang w:val="en-US"/>
        </w:rPr>
        <w:t xml:space="preserve"> </w:t>
      </w:r>
      <w:r>
        <w:rPr>
          <w:rFonts w:cs="Arial"/>
          <w:lang w:val="en-US"/>
        </w:rPr>
        <w:tab/>
      </w:r>
      <w:hyperlink r:id="rId51" w:history="1">
        <w:r w:rsidRPr="00C202A6">
          <w:rPr>
            <w:rStyle w:val="Hyperlink"/>
            <w:rFonts w:eastAsiaTheme="majorEastAsia" w:cs="Arial"/>
            <w:lang w:val="en-US"/>
          </w:rPr>
          <w:t>http://www.edf-feph.org/search/node/deinstitutionalization</w:t>
        </w:r>
      </w:hyperlink>
      <w:r w:rsidRPr="00B446F1">
        <w:rPr>
          <w:rFonts w:cs="Arial"/>
          <w:lang w:val="es-ES"/>
        </w:rPr>
        <w:t>.</w:t>
      </w:r>
    </w:p>
  </w:footnote>
  <w:footnote w:id="51">
    <w:p w14:paraId="7935764F" w14:textId="734EFBFD" w:rsidR="008B6471" w:rsidRPr="00B446F1" w:rsidRDefault="008B6471" w:rsidP="00A22C73">
      <w:pPr>
        <w:pStyle w:val="FootnoteText"/>
        <w:ind w:left="284" w:hanging="284"/>
        <w:jc w:val="left"/>
        <w:rPr>
          <w:rFonts w:cs="Arial"/>
          <w:lang w:val="es-ES"/>
        </w:rPr>
      </w:pPr>
      <w:r w:rsidRPr="00B446F1">
        <w:rPr>
          <w:rStyle w:val="FootnoteReference"/>
          <w:rFonts w:cs="Arial"/>
        </w:rPr>
        <w:footnoteRef/>
      </w:r>
      <w:r w:rsidRPr="00B446F1">
        <w:rPr>
          <w:rFonts w:cs="Arial"/>
          <w:lang w:val="es-ES"/>
        </w:rPr>
        <w:t xml:space="preserve"> </w:t>
      </w:r>
      <w:r>
        <w:rPr>
          <w:rFonts w:cs="Arial"/>
          <w:lang w:val="es-ES"/>
        </w:rPr>
        <w:tab/>
      </w:r>
      <w:hyperlink r:id="rId52" w:history="1">
        <w:r w:rsidRPr="00C202A6">
          <w:rPr>
            <w:rStyle w:val="Hyperlink"/>
            <w:rFonts w:eastAsiaTheme="majorEastAsia" w:cs="Arial"/>
            <w:lang w:val="es-ES"/>
          </w:rPr>
          <w:t>https://enil.eu/</w:t>
        </w:r>
      </w:hyperlink>
      <w:r w:rsidRPr="00B446F1">
        <w:rPr>
          <w:rFonts w:cs="Arial"/>
          <w:lang w:val="es-ES"/>
        </w:rPr>
        <w:t xml:space="preserve"> y </w:t>
      </w:r>
      <w:hyperlink r:id="rId53" w:history="1">
        <w:r w:rsidRPr="00B446F1">
          <w:rPr>
            <w:rStyle w:val="Hyperlink"/>
            <w:rFonts w:eastAsiaTheme="majorEastAsia" w:cs="Arial"/>
            <w:lang w:val="es-ES"/>
          </w:rPr>
          <w:t>http://community-living.info/</w:t>
        </w:r>
      </w:hyperlink>
      <w:r w:rsidRPr="00B446F1">
        <w:rPr>
          <w:rFonts w:cs="Arial"/>
          <w:lang w:val="es-ES"/>
        </w:rPr>
        <w:t>.</w:t>
      </w:r>
    </w:p>
  </w:footnote>
  <w:footnote w:id="52">
    <w:p w14:paraId="1308AB17" w14:textId="6D79C387" w:rsidR="008B6471" w:rsidRPr="00B446F1" w:rsidRDefault="008B6471" w:rsidP="00A22C73">
      <w:pPr>
        <w:pStyle w:val="FootnoteText"/>
        <w:ind w:left="284" w:hanging="284"/>
        <w:jc w:val="left"/>
        <w:rPr>
          <w:rFonts w:cs="Arial"/>
          <w:lang w:val="es-ES"/>
        </w:rPr>
      </w:pPr>
      <w:r w:rsidRPr="00B446F1">
        <w:rPr>
          <w:rStyle w:val="FootnoteReference"/>
          <w:rFonts w:cs="Arial"/>
        </w:rPr>
        <w:footnoteRef/>
      </w:r>
      <w:r w:rsidRPr="00B446F1">
        <w:rPr>
          <w:rFonts w:cs="Arial"/>
          <w:lang w:val="es-ES"/>
        </w:rPr>
        <w:t xml:space="preserve"> </w:t>
      </w:r>
      <w:r>
        <w:rPr>
          <w:rFonts w:cs="Arial"/>
          <w:lang w:val="es-ES"/>
        </w:rPr>
        <w:tab/>
      </w:r>
      <w:hyperlink r:id="rId54" w:history="1">
        <w:r w:rsidRPr="00C202A6">
          <w:rPr>
            <w:rStyle w:val="Hyperlink"/>
            <w:rFonts w:eastAsiaTheme="majorEastAsia" w:cs="Arial"/>
            <w:lang w:val="es-ES"/>
          </w:rPr>
          <w:t>https://www.esn-eu.org/</w:t>
        </w:r>
      </w:hyperlink>
      <w:r w:rsidRPr="00B446F1">
        <w:rPr>
          <w:rFonts w:cs="Arial"/>
          <w:lang w:val="es-ES"/>
        </w:rPr>
        <w:t>.</w:t>
      </w:r>
    </w:p>
  </w:footnote>
  <w:footnote w:id="53">
    <w:p w14:paraId="4E984488" w14:textId="5CBD83E5" w:rsidR="008B6471" w:rsidRPr="00B446F1" w:rsidRDefault="008B6471" w:rsidP="00A22C73">
      <w:pPr>
        <w:pStyle w:val="FootnoteText"/>
        <w:ind w:left="284" w:hanging="284"/>
        <w:jc w:val="left"/>
        <w:rPr>
          <w:rFonts w:cs="Arial"/>
          <w:lang w:val="es-ES"/>
        </w:rPr>
      </w:pPr>
      <w:r w:rsidRPr="00B446F1">
        <w:rPr>
          <w:rStyle w:val="FootnoteReference"/>
          <w:rFonts w:cs="Arial"/>
        </w:rPr>
        <w:footnoteRef/>
      </w:r>
      <w:r w:rsidRPr="00B446F1">
        <w:rPr>
          <w:rFonts w:cs="Arial"/>
          <w:lang w:val="es-ES"/>
        </w:rPr>
        <w:t xml:space="preserve"> </w:t>
      </w:r>
      <w:r>
        <w:rPr>
          <w:rFonts w:cs="Arial"/>
          <w:lang w:val="es-ES"/>
        </w:rPr>
        <w:tab/>
      </w:r>
      <w:hyperlink r:id="rId55" w:history="1">
        <w:r w:rsidRPr="00C202A6">
          <w:rPr>
            <w:rStyle w:val="Hyperlink"/>
            <w:rFonts w:eastAsiaTheme="majorEastAsia" w:cs="Arial"/>
            <w:lang w:val="es-ES"/>
          </w:rPr>
          <w:t>http://www.inclusion-europe.eu/</w:t>
        </w:r>
      </w:hyperlink>
      <w:r w:rsidRPr="00B446F1">
        <w:rPr>
          <w:rFonts w:cs="Arial"/>
          <w:lang w:val="es-ES"/>
        </w:rPr>
        <w:t>.</w:t>
      </w:r>
    </w:p>
  </w:footnote>
  <w:footnote w:id="54">
    <w:p w14:paraId="4289F191" w14:textId="72164E0F" w:rsidR="008B6471" w:rsidRPr="00B446F1" w:rsidRDefault="008B6471" w:rsidP="00A22C73">
      <w:pPr>
        <w:pStyle w:val="FootnoteText"/>
        <w:ind w:left="284" w:hanging="284"/>
        <w:jc w:val="left"/>
        <w:rPr>
          <w:rFonts w:cs="Arial"/>
          <w:lang w:val="es-ES"/>
        </w:rPr>
      </w:pPr>
      <w:r w:rsidRPr="00B446F1">
        <w:rPr>
          <w:rStyle w:val="FootnoteReference"/>
          <w:rFonts w:cs="Arial"/>
        </w:rPr>
        <w:footnoteRef/>
      </w:r>
      <w:r w:rsidRPr="00B446F1">
        <w:rPr>
          <w:rFonts w:cs="Arial"/>
          <w:lang w:val="es-ES"/>
        </w:rPr>
        <w:t xml:space="preserve"> </w:t>
      </w:r>
      <w:r>
        <w:rPr>
          <w:rFonts w:cs="Arial"/>
          <w:lang w:val="es-ES"/>
        </w:rPr>
        <w:tab/>
      </w:r>
      <w:hyperlink r:id="rId56" w:history="1">
        <w:r w:rsidRPr="00C202A6">
          <w:rPr>
            <w:rStyle w:val="Hyperlink"/>
            <w:rFonts w:eastAsiaTheme="majorEastAsia" w:cs="Arial"/>
            <w:lang w:val="es-ES"/>
          </w:rPr>
          <w:t>https://www.inclusion-europe.eu/wp-content/uploads/2017/07/Submission-to-the-Draft-General-Comment-No-5-on-Article-19.pdf</w:t>
        </w:r>
      </w:hyperlink>
      <w:r w:rsidRPr="00B446F1">
        <w:rPr>
          <w:rFonts w:cs="Arial"/>
          <w:lang w:val="es-ES"/>
        </w:rPr>
        <w:t>.</w:t>
      </w:r>
    </w:p>
  </w:footnote>
  <w:footnote w:id="55">
    <w:p w14:paraId="4105318D" w14:textId="0181F811" w:rsidR="008B6471" w:rsidRPr="00B446F1" w:rsidRDefault="008B6471" w:rsidP="00A22C73">
      <w:pPr>
        <w:pStyle w:val="FootnoteText"/>
        <w:ind w:left="284" w:hanging="284"/>
        <w:jc w:val="left"/>
        <w:rPr>
          <w:rFonts w:cs="Arial"/>
          <w:lang w:val="es-ES"/>
        </w:rPr>
      </w:pPr>
      <w:r w:rsidRPr="00B446F1">
        <w:rPr>
          <w:rStyle w:val="FootnoteReference"/>
          <w:rFonts w:cs="Arial"/>
        </w:rPr>
        <w:footnoteRef/>
      </w:r>
      <w:r w:rsidRPr="00B446F1">
        <w:rPr>
          <w:rFonts w:cs="Arial"/>
          <w:lang w:val="es-ES"/>
        </w:rPr>
        <w:t xml:space="preserve"> </w:t>
      </w:r>
      <w:r>
        <w:rPr>
          <w:rFonts w:cs="Arial"/>
          <w:lang w:val="es-ES"/>
        </w:rPr>
        <w:tab/>
      </w:r>
      <w:hyperlink r:id="rId57" w:history="1">
        <w:r w:rsidRPr="00C202A6">
          <w:rPr>
            <w:rStyle w:val="Hyperlink"/>
            <w:rFonts w:eastAsiaTheme="majorEastAsia" w:cs="Arial"/>
            <w:lang w:val="es-ES"/>
          </w:rPr>
          <w:t>https://www.inclusion-europe.eu/people-with-complex-support-needs-how-they-can-live-in-the-community/?highlight=deinstitutionalization</w:t>
        </w:r>
      </w:hyperlink>
      <w:r w:rsidRPr="00B446F1">
        <w:rPr>
          <w:rFonts w:cs="Arial"/>
          <w:lang w:val="es-ES"/>
        </w:rPr>
        <w:t>.</w:t>
      </w:r>
    </w:p>
  </w:footnote>
  <w:footnote w:id="56">
    <w:p w14:paraId="7F4ABAF2" w14:textId="74FF4EE1" w:rsidR="008B6471" w:rsidRPr="00B446F1" w:rsidRDefault="008B6471" w:rsidP="00A22C73">
      <w:pPr>
        <w:pStyle w:val="FootnoteText"/>
        <w:ind w:left="284" w:hanging="284"/>
        <w:jc w:val="left"/>
        <w:rPr>
          <w:rFonts w:cs="Arial"/>
          <w:lang w:val="es-ES"/>
        </w:rPr>
      </w:pPr>
      <w:r w:rsidRPr="00B446F1">
        <w:rPr>
          <w:rStyle w:val="FootnoteReference"/>
          <w:rFonts w:cs="Arial"/>
        </w:rPr>
        <w:footnoteRef/>
      </w:r>
      <w:r w:rsidRPr="00B446F1">
        <w:rPr>
          <w:rFonts w:cs="Arial"/>
          <w:lang w:val="es-ES"/>
        </w:rPr>
        <w:t xml:space="preserve"> </w:t>
      </w:r>
      <w:r>
        <w:rPr>
          <w:rFonts w:cs="Arial"/>
          <w:lang w:val="es-ES"/>
        </w:rPr>
        <w:tab/>
      </w:r>
      <w:hyperlink r:id="rId58" w:history="1">
        <w:r w:rsidRPr="00C202A6">
          <w:rPr>
            <w:rStyle w:val="Hyperlink"/>
            <w:rFonts w:eastAsiaTheme="majorEastAsia" w:cs="Arial"/>
            <w:lang w:val="es-ES"/>
          </w:rPr>
          <w:t>https://www.wearelumos.org/</w:t>
        </w:r>
      </w:hyperlink>
      <w:r w:rsidRPr="00B446F1">
        <w:rPr>
          <w:rFonts w:cs="Arial"/>
          <w:lang w:val="es-ES"/>
        </w:rPr>
        <w:t>.</w:t>
      </w:r>
    </w:p>
  </w:footnote>
  <w:footnote w:id="57">
    <w:p w14:paraId="70F2D61D" w14:textId="30C447B2" w:rsidR="008B6471" w:rsidRPr="00B446F1" w:rsidRDefault="008B6471" w:rsidP="00A22C73">
      <w:pPr>
        <w:pStyle w:val="FootnoteText"/>
        <w:ind w:left="284" w:hanging="284"/>
        <w:jc w:val="left"/>
        <w:rPr>
          <w:rFonts w:cs="Arial"/>
          <w:lang w:val="es-ES"/>
        </w:rPr>
      </w:pPr>
      <w:r w:rsidRPr="00B446F1">
        <w:rPr>
          <w:rStyle w:val="FootnoteReference"/>
          <w:rFonts w:cs="Arial"/>
        </w:rPr>
        <w:footnoteRef/>
      </w:r>
      <w:r w:rsidRPr="00B446F1">
        <w:rPr>
          <w:rFonts w:cs="Arial"/>
          <w:lang w:val="es-ES"/>
        </w:rPr>
        <w:t xml:space="preserve"> </w:t>
      </w:r>
      <w:r>
        <w:rPr>
          <w:rFonts w:cs="Arial"/>
          <w:lang w:val="es-ES"/>
        </w:rPr>
        <w:tab/>
      </w:r>
      <w:hyperlink r:id="rId59" w:history="1">
        <w:r w:rsidRPr="00C202A6">
          <w:rPr>
            <w:rStyle w:val="Hyperlink"/>
            <w:rFonts w:eastAsiaTheme="majorEastAsia" w:cs="Arial"/>
            <w:lang w:val="es-ES"/>
          </w:rPr>
          <w:t>https://mhe-sme.org/</w:t>
        </w:r>
      </w:hyperlink>
      <w:r w:rsidRPr="00B446F1">
        <w:rPr>
          <w:rFonts w:cs="Arial"/>
          <w:lang w:val="es-ES"/>
        </w:rPr>
        <w:t>.</w:t>
      </w:r>
    </w:p>
  </w:footnote>
  <w:footnote w:id="58">
    <w:p w14:paraId="2F0D0EA6" w14:textId="5AFCD6AB" w:rsidR="008B6471" w:rsidRPr="00B446F1" w:rsidRDefault="008B6471" w:rsidP="00A22C73">
      <w:pPr>
        <w:pStyle w:val="FootnoteText"/>
        <w:ind w:left="284" w:hanging="284"/>
        <w:jc w:val="left"/>
        <w:rPr>
          <w:rFonts w:cs="Arial"/>
        </w:rPr>
      </w:pPr>
      <w:r w:rsidRPr="00B446F1">
        <w:rPr>
          <w:rStyle w:val="FootnoteReference"/>
          <w:rFonts w:cs="Arial"/>
        </w:rPr>
        <w:footnoteRef/>
      </w:r>
      <w:r w:rsidRPr="00B446F1">
        <w:rPr>
          <w:rFonts w:cs="Arial"/>
        </w:rPr>
        <w:t xml:space="preserve"> </w:t>
      </w:r>
      <w:r>
        <w:rPr>
          <w:rFonts w:cs="Arial"/>
        </w:rPr>
        <w:tab/>
      </w:r>
      <w:hyperlink r:id="rId60" w:history="1">
        <w:r w:rsidRPr="00C202A6">
          <w:rPr>
            <w:rStyle w:val="Hyperlink"/>
            <w:rFonts w:eastAsiaTheme="majorEastAsia" w:cs="Arial"/>
          </w:rPr>
          <w:t>https://www.opensocietyfoundations.org</w:t>
        </w:r>
      </w:hyperlink>
      <w:r w:rsidRPr="00B446F1">
        <w:rPr>
          <w:rFonts w:cs="Arial"/>
          <w:lang w:val="es-ES"/>
        </w:rPr>
        <w:t>.</w:t>
      </w:r>
    </w:p>
  </w:footnote>
  <w:footnote w:id="59">
    <w:p w14:paraId="54C9F82A" w14:textId="7E5D43BE" w:rsidR="008B6471" w:rsidRPr="00B446F1" w:rsidRDefault="008B6471" w:rsidP="00A22C73">
      <w:pPr>
        <w:pStyle w:val="FootnoteText"/>
        <w:ind w:left="284" w:hanging="284"/>
        <w:jc w:val="left"/>
        <w:rPr>
          <w:rFonts w:cs="Arial"/>
          <w:lang w:val="en-IE"/>
        </w:rPr>
      </w:pPr>
      <w:r w:rsidRPr="00B446F1">
        <w:rPr>
          <w:rStyle w:val="FootnoteReference"/>
          <w:rFonts w:cs="Arial"/>
        </w:rPr>
        <w:footnoteRef/>
      </w:r>
      <w:r w:rsidRPr="00B446F1">
        <w:rPr>
          <w:rFonts w:cs="Arial"/>
          <w:lang w:val="en-IE"/>
        </w:rPr>
        <w:t xml:space="preserve"> </w:t>
      </w:r>
      <w:r>
        <w:rPr>
          <w:rFonts w:cs="Arial"/>
          <w:lang w:val="en-IE"/>
        </w:rPr>
        <w:tab/>
      </w:r>
      <w:r w:rsidRPr="00B446F1">
        <w:rPr>
          <w:rFonts w:cs="Arial"/>
          <w:lang w:val="en-IE"/>
        </w:rPr>
        <w:t xml:space="preserve">Defensor del Pueblo de </w:t>
      </w:r>
      <w:proofErr w:type="spellStart"/>
      <w:r w:rsidRPr="00B446F1">
        <w:rPr>
          <w:rFonts w:cs="Arial"/>
          <w:lang w:val="en-IE"/>
        </w:rPr>
        <w:t>España</w:t>
      </w:r>
      <w:proofErr w:type="spellEnd"/>
      <w:r w:rsidRPr="00B446F1">
        <w:rPr>
          <w:rFonts w:cs="Arial"/>
          <w:lang w:val="en-IE"/>
        </w:rPr>
        <w:t>, List of issues, February 2019, available a</w:t>
      </w:r>
      <w:r>
        <w:rPr>
          <w:rFonts w:cs="Arial"/>
          <w:lang w:val="en-IE"/>
        </w:rPr>
        <w:t>t</w:t>
      </w:r>
      <w:r w:rsidRPr="00B446F1">
        <w:rPr>
          <w:rFonts w:cs="Arial"/>
          <w:lang w:val="en-IE"/>
        </w:rPr>
        <w:t xml:space="preserve">: </w:t>
      </w:r>
      <w:hyperlink r:id="rId61" w:history="1">
        <w:r w:rsidRPr="00C202A6">
          <w:rPr>
            <w:rStyle w:val="Hyperlink"/>
            <w:rFonts w:cs="Arial"/>
            <w:lang w:val="en-IE"/>
          </w:rPr>
          <w:t>https://tbinternet.ohchr.org/_layouts/treatybodyexternal/Download.aspx?symbolno=INT%2fCRPD%2fIFR%2fESP%2f34071&amp;Lang=en</w:t>
        </w:r>
      </w:hyperlink>
      <w:r>
        <w:rPr>
          <w:rFonts w:cs="Arial"/>
          <w:lang w:val="en-IE"/>
        </w:rPr>
        <w:t xml:space="preserve">. </w:t>
      </w:r>
    </w:p>
  </w:footnote>
  <w:footnote w:id="60">
    <w:p w14:paraId="58ADAE44" w14:textId="1AF70BF3" w:rsidR="008B6471" w:rsidRPr="00B446F1" w:rsidRDefault="008B6471" w:rsidP="00A22C73">
      <w:pPr>
        <w:pStyle w:val="FootnoteText"/>
        <w:ind w:left="284" w:hanging="284"/>
        <w:jc w:val="left"/>
        <w:rPr>
          <w:rFonts w:cs="Arial"/>
          <w:lang w:val="en-IE"/>
        </w:rPr>
      </w:pPr>
      <w:r w:rsidRPr="00B446F1">
        <w:rPr>
          <w:rStyle w:val="FootnoteReference"/>
          <w:rFonts w:cs="Arial"/>
        </w:rPr>
        <w:footnoteRef/>
      </w:r>
      <w:r w:rsidRPr="00B446F1">
        <w:rPr>
          <w:rFonts w:cs="Arial"/>
        </w:rPr>
        <w:t xml:space="preserve"> </w:t>
      </w:r>
      <w:r>
        <w:rPr>
          <w:rFonts w:cs="Arial"/>
        </w:rPr>
        <w:tab/>
      </w:r>
      <w:r w:rsidRPr="00B446F1">
        <w:rPr>
          <w:rFonts w:cs="Arial"/>
          <w:lang w:val="en-IE"/>
        </w:rPr>
        <w:t xml:space="preserve">Defensor del Pueblo de </w:t>
      </w:r>
      <w:proofErr w:type="spellStart"/>
      <w:r w:rsidRPr="00B446F1">
        <w:rPr>
          <w:rFonts w:cs="Arial"/>
          <w:lang w:val="en-IE"/>
        </w:rPr>
        <w:t>España</w:t>
      </w:r>
      <w:proofErr w:type="spellEnd"/>
      <w:r w:rsidRPr="00B446F1">
        <w:rPr>
          <w:rFonts w:cs="Arial"/>
          <w:lang w:val="en-IE"/>
        </w:rPr>
        <w:t xml:space="preserve">, List of issues, February 2019, available at: </w:t>
      </w:r>
      <w:hyperlink r:id="rId62" w:history="1">
        <w:r w:rsidRPr="00B446F1">
          <w:rPr>
            <w:rStyle w:val="Hyperlink"/>
            <w:rFonts w:cs="Arial"/>
            <w:lang w:val="en-IE"/>
          </w:rPr>
          <w:t>https://tbinternet.ohchr.org/_layouts/treatybodyexternal/Download.aspx?symbolno=INT%2fCRPD%2fIFR%2fESP%2f34071&amp;Lang=en</w:t>
        </w:r>
      </w:hyperlink>
      <w:r w:rsidRPr="00B446F1">
        <w:rPr>
          <w:rFonts w:cs="Arial"/>
          <w:lang w:val="en-IE"/>
        </w:rPr>
        <w:t xml:space="preserve">, p10 (informal translation of Spanish original). </w:t>
      </w:r>
    </w:p>
  </w:footnote>
  <w:footnote w:id="61">
    <w:p w14:paraId="7A8CCF00" w14:textId="4D55682A" w:rsidR="008B6471" w:rsidRPr="00B446F1" w:rsidRDefault="008B6471" w:rsidP="00A22C73">
      <w:pPr>
        <w:pStyle w:val="FootnoteText"/>
        <w:ind w:left="284" w:hanging="284"/>
        <w:jc w:val="left"/>
        <w:rPr>
          <w:rFonts w:cs="Arial"/>
          <w:lang w:val="en-US"/>
        </w:rPr>
      </w:pPr>
      <w:r w:rsidRPr="00B446F1">
        <w:rPr>
          <w:rStyle w:val="FootnoteReference"/>
          <w:rFonts w:cs="Arial"/>
        </w:rPr>
        <w:footnoteRef/>
      </w:r>
      <w:r>
        <w:rPr>
          <w:rFonts w:cs="Arial"/>
          <w:lang w:val="en-US"/>
        </w:rPr>
        <w:t xml:space="preserve"> </w:t>
      </w:r>
      <w:r>
        <w:rPr>
          <w:rFonts w:cs="Arial"/>
          <w:lang w:val="en-US"/>
        </w:rPr>
        <w:tab/>
      </w:r>
      <w:r w:rsidRPr="00B446F1">
        <w:rPr>
          <w:rFonts w:cs="Arial"/>
          <w:lang w:val="en-US"/>
        </w:rPr>
        <w:t xml:space="preserve">Report on the Implementation of Article 19 of the UN Convention on the Rights of Persons with Disabilities in Spain, Submitted by the European Network on Independent Living (ENIL) and </w:t>
      </w:r>
      <w:proofErr w:type="spellStart"/>
      <w:r w:rsidRPr="00B446F1">
        <w:rPr>
          <w:rFonts w:cs="Arial"/>
          <w:lang w:val="en-US"/>
        </w:rPr>
        <w:t>Federación</w:t>
      </w:r>
      <w:proofErr w:type="spellEnd"/>
      <w:r w:rsidRPr="00B446F1">
        <w:rPr>
          <w:rFonts w:cs="Arial"/>
          <w:lang w:val="en-US"/>
        </w:rPr>
        <w:t xml:space="preserve"> Vida Independiente (FEVI): </w:t>
      </w:r>
      <w:hyperlink r:id="rId63" w:history="1">
        <w:r w:rsidRPr="00C202A6">
          <w:rPr>
            <w:rStyle w:val="Hyperlink"/>
            <w:rFonts w:cs="Arial"/>
            <w:lang w:val="en-US"/>
          </w:rPr>
          <w:t>https://tbinternet.ohchr.org/Treaties/CRPD/Shared%20Documents/ESP/INT_CRPD_CSS_ESP_33976_E.docx</w:t>
        </w:r>
      </w:hyperlink>
      <w:r>
        <w:rPr>
          <w:rFonts w:cs="Arial"/>
          <w:lang w:val="en-US"/>
        </w:rPr>
        <w:t xml:space="preserve">. </w:t>
      </w:r>
    </w:p>
  </w:footnote>
  <w:footnote w:id="62">
    <w:p w14:paraId="06EE2472" w14:textId="3C8FCC3D" w:rsidR="008B6471" w:rsidRPr="00B446F1" w:rsidRDefault="008B6471" w:rsidP="00A22C73">
      <w:pPr>
        <w:pStyle w:val="FootnoteText"/>
        <w:ind w:left="284" w:hanging="284"/>
        <w:jc w:val="left"/>
        <w:rPr>
          <w:rFonts w:cs="Arial"/>
          <w:lang w:val="en-US"/>
        </w:rPr>
      </w:pPr>
      <w:r w:rsidRPr="00B446F1">
        <w:rPr>
          <w:rStyle w:val="FootnoteReference"/>
          <w:rFonts w:cs="Arial"/>
        </w:rPr>
        <w:footnoteRef/>
      </w:r>
      <w:r w:rsidRPr="00B446F1">
        <w:rPr>
          <w:rFonts w:cs="Arial"/>
          <w:lang w:val="en-US"/>
        </w:rPr>
        <w:t xml:space="preserve"> </w:t>
      </w:r>
      <w:r>
        <w:rPr>
          <w:rFonts w:cs="Arial"/>
          <w:lang w:val="en-US"/>
        </w:rPr>
        <w:tab/>
      </w:r>
      <w:r w:rsidRPr="00B446F1">
        <w:rPr>
          <w:rFonts w:cs="Arial"/>
          <w:lang w:val="en-US"/>
        </w:rPr>
        <w:t>Verdugo, M.A. and Jenaro, C., European Semester 2017</w:t>
      </w:r>
      <w:r w:rsidR="0020410D">
        <w:rPr>
          <w:rFonts w:cs="Arial"/>
          <w:lang w:val="en-US"/>
        </w:rPr>
        <w:t>/</w:t>
      </w:r>
      <w:r w:rsidRPr="00B446F1">
        <w:rPr>
          <w:rFonts w:cs="Arial"/>
          <w:lang w:val="en-US"/>
        </w:rPr>
        <w:t xml:space="preserve">2018 country fiche on disability, Academic Network of European Disability Experts, page 30, at: </w:t>
      </w:r>
      <w:hyperlink r:id="rId64" w:history="1">
        <w:r w:rsidRPr="00B446F1">
          <w:rPr>
            <w:rStyle w:val="Hyperlink"/>
            <w:rFonts w:eastAsiaTheme="majorEastAsia" w:cs="Arial"/>
            <w:lang w:val="en-US"/>
          </w:rPr>
          <w:t>https://www.disability-europe.net/country/spain</w:t>
        </w:r>
      </w:hyperlink>
      <w:r w:rsidRPr="00B446F1">
        <w:rPr>
          <w:rFonts w:cs="Arial"/>
          <w:lang w:val="en-US"/>
        </w:rPr>
        <w:t>.</w:t>
      </w:r>
    </w:p>
  </w:footnote>
  <w:footnote w:id="63">
    <w:p w14:paraId="65974F4B" w14:textId="6F0D5C6B" w:rsidR="008B6471" w:rsidRPr="00B446F1" w:rsidRDefault="008B6471" w:rsidP="00A22C73">
      <w:pPr>
        <w:pStyle w:val="FootnoteText"/>
        <w:ind w:left="284" w:hanging="284"/>
        <w:jc w:val="left"/>
        <w:rPr>
          <w:rFonts w:cs="Arial"/>
          <w:lang w:val="es-ES"/>
        </w:rPr>
      </w:pPr>
      <w:r w:rsidRPr="00B446F1">
        <w:rPr>
          <w:rStyle w:val="FootnoteReference"/>
          <w:rFonts w:cs="Arial"/>
        </w:rPr>
        <w:footnoteRef/>
      </w:r>
      <w:r w:rsidRPr="00B446F1">
        <w:rPr>
          <w:rFonts w:cs="Arial"/>
          <w:lang w:val="es-ES"/>
        </w:rPr>
        <w:t xml:space="preserve"> </w:t>
      </w:r>
      <w:r>
        <w:rPr>
          <w:rFonts w:cs="Arial"/>
          <w:lang w:val="es-ES"/>
        </w:rPr>
        <w:tab/>
      </w:r>
      <w:r w:rsidRPr="00B446F1">
        <w:rPr>
          <w:rFonts w:cs="Arial"/>
          <w:lang w:val="es-ES"/>
        </w:rPr>
        <w:t xml:space="preserve">Arnau Ripollés, S. (2017). Personas LGTBQI+ y diversidad funcional en España. Aportaciones del instituto de paz, derechos humanos y vida independiente (IPADEVI): </w:t>
      </w:r>
      <w:hyperlink r:id="rId65" w:history="1">
        <w:r w:rsidRPr="00C202A6">
          <w:rPr>
            <w:rStyle w:val="Hyperlink"/>
            <w:rFonts w:cs="Arial"/>
            <w:lang w:val="es-ES"/>
          </w:rPr>
          <w:t>https://tbinternet.ohchr.org/Treaties/CRPD/Shared%20Documents/ESP/INT_CRPD_ICS_ESP_26884_S.doc</w:t>
        </w:r>
      </w:hyperlink>
      <w:r>
        <w:rPr>
          <w:rFonts w:cs="Arial"/>
          <w:lang w:val="es-ES"/>
        </w:rPr>
        <w:t xml:space="preserve">. </w:t>
      </w:r>
    </w:p>
  </w:footnote>
  <w:footnote w:id="64">
    <w:p w14:paraId="5B3153C4" w14:textId="3CB1DC22" w:rsidR="008B6471" w:rsidRPr="00B446F1" w:rsidRDefault="008B6471" w:rsidP="00A22C73">
      <w:pPr>
        <w:pStyle w:val="FootnoteText"/>
        <w:ind w:left="284" w:hanging="284"/>
        <w:jc w:val="left"/>
        <w:rPr>
          <w:rFonts w:cs="Arial"/>
        </w:rPr>
      </w:pPr>
      <w:r w:rsidRPr="00B446F1">
        <w:rPr>
          <w:rStyle w:val="FootnoteReference"/>
          <w:rFonts w:cs="Arial"/>
        </w:rPr>
        <w:footnoteRef/>
      </w:r>
      <w:r w:rsidRPr="00B446F1">
        <w:rPr>
          <w:rFonts w:cs="Arial"/>
          <w:lang w:val="en-US"/>
        </w:rPr>
        <w:t xml:space="preserve"> </w:t>
      </w:r>
      <w:r>
        <w:rPr>
          <w:rFonts w:cs="Arial"/>
          <w:lang w:val="en-US"/>
        </w:rPr>
        <w:tab/>
      </w:r>
      <w:r w:rsidRPr="00B446F1">
        <w:rPr>
          <w:rFonts w:cs="Arial"/>
        </w:rPr>
        <w:t xml:space="preserve">European Network of (Ex-) Users and Survivors of Psychiatry (ENUSP) ENUSP Proposals for the List of issues on Spain, CRPD Committee. Available at: </w:t>
      </w:r>
      <w:hyperlink r:id="rId66" w:history="1">
        <w:r w:rsidRPr="00C202A6">
          <w:rPr>
            <w:rStyle w:val="Hyperlink"/>
            <w:rFonts w:cs="Arial"/>
            <w:lang w:val="en-US"/>
          </w:rPr>
          <w:t>https://tbinternet.ohchr.org/Treaties/CRPD/Shared%20Documents/ESP/INT_CRPD_ICS_ESP_26882_E.doc</w:t>
        </w:r>
      </w:hyperlink>
      <w:r>
        <w:rPr>
          <w:rFonts w:cs="Arial"/>
          <w:lang w:val="en-US"/>
        </w:rPr>
        <w:t xml:space="preserve">. </w:t>
      </w:r>
    </w:p>
  </w:footnote>
  <w:footnote w:id="65">
    <w:p w14:paraId="1B3068E6" w14:textId="11B271C4" w:rsidR="008B6471" w:rsidRPr="00B446F1" w:rsidRDefault="008B6471" w:rsidP="00A22C73">
      <w:pPr>
        <w:pStyle w:val="FootnoteText"/>
        <w:ind w:left="284" w:hanging="284"/>
        <w:jc w:val="left"/>
        <w:rPr>
          <w:rFonts w:cs="Arial"/>
        </w:rPr>
      </w:pPr>
      <w:r w:rsidRPr="00B446F1">
        <w:rPr>
          <w:rStyle w:val="FootnoteReference"/>
          <w:rFonts w:cs="Arial"/>
        </w:rPr>
        <w:footnoteRef/>
      </w:r>
      <w:r w:rsidRPr="00B446F1">
        <w:rPr>
          <w:rFonts w:cs="Arial"/>
          <w:lang w:val="es-ES"/>
        </w:rPr>
        <w:t xml:space="preserve"> </w:t>
      </w:r>
      <w:r>
        <w:rPr>
          <w:rFonts w:cs="Arial"/>
          <w:lang w:val="es-ES"/>
        </w:rPr>
        <w:tab/>
      </w:r>
      <w:r w:rsidRPr="00B446F1">
        <w:rPr>
          <w:rFonts w:cs="Arial"/>
          <w:lang w:val="es-ES"/>
        </w:rPr>
        <w:t xml:space="preserve">CERMI (2016) 2006-2016: 10 años de la Convención Internacional sobre los Derechos de las Personas con Discapacidad – Balance de su aplicación en España. </w:t>
      </w:r>
      <w:r w:rsidRPr="00B446F1">
        <w:rPr>
          <w:rFonts w:cs="Arial"/>
          <w:lang w:val="en-US"/>
        </w:rPr>
        <w:t xml:space="preserve">Available at: </w:t>
      </w:r>
      <w:hyperlink r:id="rId67" w:history="1">
        <w:r w:rsidRPr="00B446F1">
          <w:rPr>
            <w:rStyle w:val="Hyperlink"/>
            <w:rFonts w:eastAsiaTheme="majorEastAsia" w:cs="Arial"/>
            <w:lang w:val="en-US"/>
          </w:rPr>
          <w:t>https://tbinternet.ohchr.org/Treaties/CRPD/Shared%20Documents/ESP/INT_CRPD_NHS_ESP_33289_S.pdf</w:t>
        </w:r>
      </w:hyperlink>
      <w:r w:rsidRPr="00B446F1">
        <w:rPr>
          <w:rFonts w:cs="Arial"/>
          <w:lang w:val="es-ES"/>
        </w:rPr>
        <w:t>.</w:t>
      </w:r>
    </w:p>
  </w:footnote>
  <w:footnote w:id="66">
    <w:p w14:paraId="29474C0F" w14:textId="09B78391" w:rsidR="008B6471" w:rsidRPr="00B446F1" w:rsidRDefault="008B6471" w:rsidP="00A22C73">
      <w:pPr>
        <w:pStyle w:val="FootnoteText"/>
        <w:ind w:left="284" w:hanging="284"/>
        <w:jc w:val="left"/>
        <w:rPr>
          <w:rFonts w:cs="Arial"/>
        </w:rPr>
      </w:pPr>
      <w:r w:rsidRPr="00B446F1">
        <w:rPr>
          <w:rStyle w:val="FootnoteReference"/>
          <w:rFonts w:cs="Arial"/>
        </w:rPr>
        <w:footnoteRef/>
      </w:r>
      <w:r w:rsidRPr="00B446F1">
        <w:rPr>
          <w:rFonts w:cs="Arial"/>
        </w:rPr>
        <w:t xml:space="preserve"> </w:t>
      </w:r>
      <w:hyperlink r:id="rId68" w:history="1">
        <w:r w:rsidRPr="00B446F1">
          <w:rPr>
            <w:rStyle w:val="Hyperlink"/>
            <w:rFonts w:cs="Arial"/>
          </w:rPr>
          <w:t>http://observatoriodeladiscapacidad.info/attachments/article/65/ESTUDIO%20INSTITUCIONALIZACION%20PCD.pdf</w:t>
        </w:r>
      </w:hyperlink>
      <w:r w:rsidRPr="00B446F1">
        <w:rPr>
          <w:rFonts w:cs="Arial"/>
          <w:lang w:val="es-ES"/>
        </w:rPr>
        <w:t>.</w:t>
      </w:r>
      <w:r w:rsidRPr="00B446F1">
        <w:rPr>
          <w:rFonts w:cs="Arial"/>
        </w:rPr>
        <w:t xml:space="preserve"> </w:t>
      </w:r>
    </w:p>
  </w:footnote>
  <w:footnote w:id="67">
    <w:p w14:paraId="2F3DA841" w14:textId="4CDFA9A2" w:rsidR="008B6471" w:rsidRPr="00B446F1" w:rsidRDefault="008B6471" w:rsidP="00A22C73">
      <w:pPr>
        <w:pStyle w:val="FootnoteText"/>
        <w:ind w:left="284" w:hanging="284"/>
        <w:jc w:val="left"/>
        <w:rPr>
          <w:rFonts w:cs="Arial"/>
          <w:lang w:val="en-US"/>
        </w:rPr>
      </w:pPr>
      <w:r w:rsidRPr="00B446F1">
        <w:rPr>
          <w:rStyle w:val="FootnoteReference"/>
          <w:rFonts w:cs="Arial"/>
        </w:rPr>
        <w:footnoteRef/>
      </w:r>
      <w:r w:rsidRPr="00B446F1">
        <w:rPr>
          <w:rFonts w:cs="Arial"/>
          <w:lang w:val="en-US"/>
        </w:rPr>
        <w:t xml:space="preserve"> </w:t>
      </w:r>
      <w:r>
        <w:rPr>
          <w:rFonts w:cs="Arial"/>
          <w:lang w:val="en-US"/>
        </w:rPr>
        <w:tab/>
      </w:r>
      <w:r w:rsidRPr="00B446F1">
        <w:rPr>
          <w:rFonts w:cs="Arial"/>
        </w:rPr>
        <w:t xml:space="preserve">OECD (2011) Help Wanted? Providing and Paying for Long-Term Care. Available at: </w:t>
      </w:r>
      <w:hyperlink r:id="rId69" w:anchor="page1" w:history="1">
        <w:r w:rsidRPr="00C202A6">
          <w:rPr>
            <w:rStyle w:val="Hyperlink"/>
            <w:rFonts w:cs="Arial"/>
          </w:rPr>
          <w:t>https://read.oecd-ilibrary.org/social-issues-migration-health/help-wanted_9789264097759-en#page1</w:t>
        </w:r>
      </w:hyperlink>
      <w:r>
        <w:rPr>
          <w:rFonts w:cs="Arial"/>
        </w:rPr>
        <w:t xml:space="preserve">. </w:t>
      </w:r>
    </w:p>
  </w:footnote>
  <w:footnote w:id="68">
    <w:p w14:paraId="6B6C800E" w14:textId="0B3DBA91" w:rsidR="008B6471" w:rsidRPr="00B446F1" w:rsidRDefault="008B6471" w:rsidP="00A22C73">
      <w:pPr>
        <w:pStyle w:val="FootnoteText"/>
        <w:ind w:left="284" w:hanging="284"/>
        <w:jc w:val="left"/>
        <w:rPr>
          <w:rFonts w:cs="Arial"/>
        </w:rPr>
      </w:pPr>
      <w:r w:rsidRPr="00B446F1">
        <w:rPr>
          <w:rStyle w:val="FootnoteReference"/>
          <w:rFonts w:cs="Arial"/>
        </w:rPr>
        <w:footnoteRef/>
      </w:r>
      <w:r w:rsidRPr="00B446F1">
        <w:rPr>
          <w:rFonts w:cs="Arial"/>
        </w:rPr>
        <w:t xml:space="preserve"> </w:t>
      </w:r>
      <w:r>
        <w:rPr>
          <w:rFonts w:cs="Arial"/>
        </w:rPr>
        <w:tab/>
      </w:r>
      <w:r w:rsidRPr="00B446F1">
        <w:rPr>
          <w:rFonts w:cs="Arial"/>
        </w:rPr>
        <w:t xml:space="preserve">OECD (2011) Help Wanted? Providing and Paying for Long-Term Care. </w:t>
      </w:r>
      <w:r w:rsidRPr="00B446F1">
        <w:rPr>
          <w:rFonts w:cs="Arial"/>
          <w:lang w:val="en-US"/>
        </w:rPr>
        <w:t>Available at:</w:t>
      </w:r>
      <w:r>
        <w:rPr>
          <w:rFonts w:cs="Arial"/>
          <w:lang w:val="en-US"/>
        </w:rPr>
        <w:t xml:space="preserve"> </w:t>
      </w:r>
      <w:hyperlink r:id="rId70" w:history="1">
        <w:r w:rsidRPr="00B446F1">
          <w:rPr>
            <w:rStyle w:val="Hyperlink"/>
            <w:rFonts w:cs="Arial"/>
            <w:lang w:val="en-US"/>
          </w:rPr>
          <w:t>http://www.oecd.org/health/health-systems/Help-Wanted-Policy-Brief.pdf</w:t>
        </w:r>
      </w:hyperlink>
      <w:r w:rsidRPr="00B446F1">
        <w:rPr>
          <w:rFonts w:cs="Arial"/>
          <w:lang w:val="es-ES"/>
        </w:rPr>
        <w:t>.</w:t>
      </w:r>
    </w:p>
  </w:footnote>
  <w:footnote w:id="69">
    <w:p w14:paraId="3C798D00" w14:textId="119022C3" w:rsidR="008B6471" w:rsidRPr="00B446F1" w:rsidRDefault="008B6471" w:rsidP="00A22C73">
      <w:pPr>
        <w:pStyle w:val="FootnoteText"/>
        <w:ind w:left="284" w:hanging="284"/>
        <w:jc w:val="left"/>
        <w:rPr>
          <w:rFonts w:cs="Arial"/>
        </w:rPr>
      </w:pPr>
      <w:r w:rsidRPr="00B446F1">
        <w:rPr>
          <w:rStyle w:val="FootnoteReference"/>
          <w:rFonts w:cs="Arial"/>
        </w:rPr>
        <w:footnoteRef/>
      </w:r>
      <w:r w:rsidRPr="00B446F1">
        <w:rPr>
          <w:rFonts w:cs="Arial"/>
        </w:rPr>
        <w:t xml:space="preserve"> </w:t>
      </w:r>
      <w:r>
        <w:rPr>
          <w:rFonts w:cs="Arial"/>
        </w:rPr>
        <w:tab/>
      </w:r>
      <w:r w:rsidRPr="00B446F1">
        <w:rPr>
          <w:rFonts w:cs="Arial"/>
        </w:rPr>
        <w:t>OECD (2011) Help Wanted? Providing and Paying for Long-Term Care. Summary and conclusions. Available at:</w:t>
      </w:r>
      <w:r>
        <w:rPr>
          <w:rFonts w:cs="Arial"/>
        </w:rPr>
        <w:t xml:space="preserve"> </w:t>
      </w:r>
      <w:hyperlink r:id="rId71" w:history="1">
        <w:r w:rsidRPr="00B446F1">
          <w:rPr>
            <w:rStyle w:val="Hyperlink"/>
            <w:rFonts w:cs="Arial"/>
          </w:rPr>
          <w:t>http://www.oecd.org/els/health-systems/47887770.pdf</w:t>
        </w:r>
      </w:hyperlink>
      <w:r w:rsidRPr="00B446F1">
        <w:rPr>
          <w:rFonts w:cs="Arial"/>
          <w:lang w:val="es-ES"/>
        </w:rPr>
        <w:t>.</w:t>
      </w:r>
    </w:p>
  </w:footnote>
  <w:footnote w:id="70">
    <w:p w14:paraId="429693C7" w14:textId="73BC0D5B" w:rsidR="008B6471" w:rsidRPr="00B446F1" w:rsidRDefault="008B6471" w:rsidP="00321274">
      <w:pPr>
        <w:ind w:left="284" w:hanging="284"/>
        <w:jc w:val="left"/>
        <w:rPr>
          <w:rFonts w:cs="Arial"/>
          <w:lang w:val="es-ES"/>
        </w:rPr>
      </w:pPr>
      <w:r w:rsidRPr="00B446F1">
        <w:rPr>
          <w:rStyle w:val="FootnoteReference"/>
          <w:rFonts w:cs="Arial"/>
        </w:rPr>
        <w:footnoteRef/>
      </w:r>
      <w:r w:rsidRPr="00B446F1">
        <w:rPr>
          <w:rFonts w:cs="Arial"/>
          <w:sz w:val="20"/>
          <w:lang w:val="es-ES"/>
        </w:rPr>
        <w:t xml:space="preserve"> </w:t>
      </w:r>
      <w:r>
        <w:rPr>
          <w:rFonts w:cs="Arial"/>
          <w:sz w:val="20"/>
          <w:lang w:val="es-ES"/>
        </w:rPr>
        <w:tab/>
      </w:r>
      <w:r w:rsidRPr="00B446F1">
        <w:rPr>
          <w:rFonts w:cs="Arial"/>
          <w:sz w:val="20"/>
          <w:lang w:val="es-ES"/>
        </w:rPr>
        <w:t>Verdugo, M.A., Navas, P., Martínez, S., &amp; Sainz, F.</w:t>
      </w:r>
      <w:r>
        <w:rPr>
          <w:rFonts w:cs="Arial"/>
          <w:sz w:val="20"/>
          <w:lang w:val="es-ES"/>
        </w:rPr>
        <w:t xml:space="preserve"> </w:t>
      </w:r>
      <w:r w:rsidRPr="00B446F1">
        <w:rPr>
          <w:rFonts w:cs="Arial"/>
          <w:sz w:val="20"/>
          <w:lang w:val="es-ES"/>
        </w:rPr>
        <w:t>(2016).</w:t>
      </w:r>
      <w:r>
        <w:rPr>
          <w:rFonts w:cs="Arial"/>
          <w:sz w:val="20"/>
          <w:lang w:val="es-ES"/>
        </w:rPr>
        <w:t xml:space="preserve"> </w:t>
      </w:r>
      <w:r w:rsidRPr="00B446F1">
        <w:rPr>
          <w:rFonts w:cs="Arial"/>
          <w:sz w:val="20"/>
          <w:lang w:val="es-ES"/>
        </w:rPr>
        <w:t>Todos somos todos. Derechos y calidad de vida de las personas con discapacidad i</w:t>
      </w:r>
      <w:r w:rsidRPr="00321274">
        <w:rPr>
          <w:rFonts w:cs="Arial"/>
          <w:sz w:val="20"/>
          <w:lang w:val="es-ES"/>
        </w:rPr>
        <w:t xml:space="preserve">ntelectual y mayores necesidades de apoyo. Informe Ejecutivo. </w:t>
      </w:r>
      <w:proofErr w:type="spellStart"/>
      <w:r w:rsidRPr="00321274">
        <w:rPr>
          <w:rFonts w:cs="Arial"/>
          <w:sz w:val="20"/>
          <w:lang w:val="es-ES"/>
        </w:rPr>
        <w:t>Available</w:t>
      </w:r>
      <w:proofErr w:type="spellEnd"/>
      <w:r w:rsidRPr="00321274">
        <w:rPr>
          <w:rFonts w:cs="Arial"/>
          <w:sz w:val="20"/>
          <w:lang w:val="es-ES"/>
        </w:rPr>
        <w:t xml:space="preserve"> at: </w:t>
      </w:r>
      <w:hyperlink r:id="rId72" w:history="1">
        <w:r w:rsidRPr="00321274">
          <w:rPr>
            <w:rStyle w:val="Hyperlink"/>
            <w:rFonts w:cs="Arial"/>
            <w:sz w:val="20"/>
            <w:lang w:val="es-ES"/>
          </w:rPr>
          <w:t>http://www.plenainclusion.org/sites/default/files/30-11-16-todossomostodos-informeejecutivo.pdf</w:t>
        </w:r>
      </w:hyperlink>
      <w:r w:rsidRPr="00321274">
        <w:rPr>
          <w:rFonts w:cs="Arial"/>
          <w:sz w:val="20"/>
          <w:lang w:val="es-ES"/>
        </w:rPr>
        <w:t>.</w:t>
      </w:r>
      <w:r w:rsidRPr="00B446F1">
        <w:rPr>
          <w:rFonts w:cs="Arial"/>
          <w:lang w:val="es-ES"/>
        </w:rPr>
        <w:t xml:space="preserve"> </w:t>
      </w:r>
    </w:p>
  </w:footnote>
  <w:footnote w:id="71">
    <w:p w14:paraId="25B012AF" w14:textId="02C349F9" w:rsidR="008B6471" w:rsidRPr="00B446F1" w:rsidRDefault="008B6471" w:rsidP="00A22C73">
      <w:pPr>
        <w:pStyle w:val="FootnoteText"/>
        <w:ind w:left="284" w:hanging="284"/>
        <w:jc w:val="left"/>
        <w:rPr>
          <w:rFonts w:cs="Arial"/>
          <w:lang w:val="en-US"/>
        </w:rPr>
      </w:pPr>
      <w:r w:rsidRPr="00B446F1">
        <w:rPr>
          <w:rStyle w:val="FootnoteReference"/>
          <w:rFonts w:cs="Arial"/>
        </w:rPr>
        <w:footnoteRef/>
      </w:r>
      <w:r w:rsidRPr="00B446F1">
        <w:rPr>
          <w:rFonts w:cs="Arial"/>
          <w:lang w:val="en-US"/>
        </w:rPr>
        <w:t xml:space="preserve"> </w:t>
      </w:r>
      <w:r>
        <w:rPr>
          <w:rFonts w:cs="Arial"/>
          <w:lang w:val="en-US"/>
        </w:rPr>
        <w:tab/>
      </w:r>
      <w:r w:rsidRPr="00B446F1">
        <w:rPr>
          <w:rFonts w:cs="Arial"/>
          <w:lang w:val="en-US"/>
        </w:rPr>
        <w:t xml:space="preserve">Mansell, Jim and Knapp, Martin and Beadle-Brown, Julie and Beecham, Jennifer (2007) </w:t>
      </w:r>
      <w:proofErr w:type="spellStart"/>
      <w:r w:rsidRPr="00B446F1">
        <w:rPr>
          <w:rFonts w:cs="Arial"/>
          <w:lang w:val="en-US"/>
        </w:rPr>
        <w:t>Deinstitutionalisation</w:t>
      </w:r>
      <w:proofErr w:type="spellEnd"/>
      <w:r w:rsidRPr="00B446F1">
        <w:rPr>
          <w:rFonts w:cs="Arial"/>
          <w:lang w:val="en-US"/>
        </w:rPr>
        <w:t xml:space="preserve"> and community living – outcomes and costs: report of a European Study. Volume 2: main report. University of Kent, Canterbury, UK.</w:t>
      </w:r>
      <w:r>
        <w:rPr>
          <w:rFonts w:cs="Arial"/>
          <w:lang w:val="en-US"/>
        </w:rPr>
        <w:t xml:space="preserve"> </w:t>
      </w:r>
      <w:r w:rsidRPr="00B446F1">
        <w:rPr>
          <w:rFonts w:cs="Arial"/>
          <w:lang w:val="en-US"/>
        </w:rPr>
        <w:t xml:space="preserve">Available from: </w:t>
      </w:r>
      <w:hyperlink r:id="rId73" w:history="1">
        <w:r w:rsidRPr="00B446F1">
          <w:rPr>
            <w:rStyle w:val="Hyperlink"/>
            <w:rFonts w:eastAsiaTheme="majorEastAsia" w:cs="Arial"/>
            <w:lang w:val="en-US"/>
          </w:rPr>
          <w:t>https://www.researchgate.net/publication/30523444_Deinstitutionalisation_and_community_living-outcomes_and_costs_report_of_a_European_Study_Volume_2_Main_Report</w:t>
        </w:r>
      </w:hyperlink>
      <w:r w:rsidRPr="00B446F1">
        <w:rPr>
          <w:rFonts w:cs="Arial"/>
          <w:lang w:val="en-US"/>
        </w:rPr>
        <w:t>.</w:t>
      </w:r>
    </w:p>
  </w:footnote>
  <w:footnote w:id="72">
    <w:p w14:paraId="6EC991CC" w14:textId="7DDA5386" w:rsidR="008B6471" w:rsidRPr="00B446F1" w:rsidRDefault="008B6471" w:rsidP="00A22C73">
      <w:pPr>
        <w:pStyle w:val="FootnoteText"/>
        <w:ind w:left="284" w:hanging="284"/>
        <w:jc w:val="left"/>
        <w:rPr>
          <w:rFonts w:cs="Arial"/>
          <w:lang w:val="en-US"/>
        </w:rPr>
      </w:pPr>
      <w:r w:rsidRPr="00B446F1">
        <w:rPr>
          <w:rStyle w:val="FootnoteReference"/>
          <w:rFonts w:cs="Arial"/>
        </w:rPr>
        <w:footnoteRef/>
      </w:r>
      <w:r w:rsidRPr="00B446F1">
        <w:rPr>
          <w:rFonts w:cs="Arial"/>
          <w:lang w:val="en-US"/>
        </w:rPr>
        <w:t xml:space="preserve"> </w:t>
      </w:r>
      <w:r>
        <w:rPr>
          <w:rFonts w:cs="Arial"/>
          <w:lang w:val="en-US"/>
        </w:rPr>
        <w:tab/>
      </w:r>
      <w:hyperlink r:id="rId74" w:history="1">
        <w:r w:rsidRPr="00C202A6">
          <w:rPr>
            <w:rStyle w:val="Hyperlink"/>
            <w:rFonts w:cs="Arial"/>
            <w:lang w:val="en-US"/>
          </w:rPr>
          <w:t>http://www.plenainclusion.org/informate/campa%C3%B1as/todos-somos-todos</w:t>
        </w:r>
      </w:hyperlink>
      <w:r>
        <w:rPr>
          <w:rFonts w:cs="Arial"/>
          <w:lang w:val="en-US"/>
        </w:rPr>
        <w:t xml:space="preserve">. </w:t>
      </w:r>
    </w:p>
  </w:footnote>
  <w:footnote w:id="73">
    <w:p w14:paraId="45EB313A" w14:textId="74CD6AA6" w:rsidR="008B6471" w:rsidRPr="00B446F1" w:rsidRDefault="008B6471" w:rsidP="00777653">
      <w:pPr>
        <w:ind w:left="284" w:hanging="284"/>
        <w:jc w:val="left"/>
        <w:rPr>
          <w:rFonts w:cs="Arial"/>
          <w:lang w:val="en-US"/>
        </w:rPr>
      </w:pPr>
      <w:r w:rsidRPr="00B446F1">
        <w:rPr>
          <w:rStyle w:val="FootnoteReference"/>
          <w:rFonts w:cs="Arial"/>
        </w:rPr>
        <w:footnoteRef/>
      </w:r>
      <w:r w:rsidRPr="00B446F1">
        <w:rPr>
          <w:rFonts w:cs="Arial"/>
          <w:sz w:val="20"/>
          <w:lang w:val="es-ES"/>
        </w:rPr>
        <w:t xml:space="preserve"> </w:t>
      </w:r>
      <w:r>
        <w:rPr>
          <w:rFonts w:cs="Arial"/>
          <w:sz w:val="20"/>
          <w:lang w:val="es-ES"/>
        </w:rPr>
        <w:tab/>
      </w:r>
      <w:r w:rsidRPr="00B446F1">
        <w:rPr>
          <w:rFonts w:cs="Arial"/>
          <w:sz w:val="20"/>
          <w:lang w:val="es-ES"/>
        </w:rPr>
        <w:t xml:space="preserve">Plena Inclusión (2016). Posicionamiento de Plena inclusión sobre personas con discapacidad intelectual o del desarrollo con grandes necesidades de apoyo. </w:t>
      </w:r>
      <w:r w:rsidRPr="00B446F1">
        <w:rPr>
          <w:rFonts w:cs="Arial"/>
          <w:sz w:val="20"/>
        </w:rPr>
        <w:t>Available at:</w:t>
      </w:r>
      <w:r>
        <w:rPr>
          <w:rFonts w:cs="Arial"/>
          <w:sz w:val="20"/>
        </w:rPr>
        <w:t xml:space="preserve"> </w:t>
      </w:r>
      <w:hyperlink r:id="rId75" w:history="1">
        <w:r w:rsidRPr="00777653">
          <w:rPr>
            <w:rStyle w:val="Hyperlink"/>
            <w:rFonts w:cs="Arial"/>
            <w:sz w:val="20"/>
            <w:lang w:val="en-US"/>
          </w:rPr>
          <w:t>http://www.plenainclusion.org/informate/actualidad/noticias/2016/posicionamiento-de-plena-inclusion-sobre-personas-con</w:t>
        </w:r>
      </w:hyperlink>
      <w:r w:rsidRPr="00777653">
        <w:rPr>
          <w:rFonts w:cs="Arial"/>
          <w:sz w:val="20"/>
          <w:lang w:val="es-ES"/>
        </w:rPr>
        <w:t>.</w:t>
      </w:r>
      <w:r w:rsidRPr="00B446F1">
        <w:rPr>
          <w:rFonts w:cs="Arial"/>
          <w:lang w:val="en-US"/>
        </w:rPr>
        <w:t xml:space="preserve"> </w:t>
      </w:r>
    </w:p>
  </w:footnote>
  <w:footnote w:id="74">
    <w:p w14:paraId="6ACC4A1F" w14:textId="13ABFAD6" w:rsidR="008B6471" w:rsidRPr="00B446F1" w:rsidRDefault="008B6471" w:rsidP="00A22C73">
      <w:pPr>
        <w:pStyle w:val="FootnoteText"/>
        <w:ind w:left="284" w:hanging="284"/>
        <w:jc w:val="left"/>
        <w:rPr>
          <w:rFonts w:cs="Arial"/>
          <w:lang w:val="es-ES"/>
        </w:rPr>
      </w:pPr>
      <w:r w:rsidRPr="00B446F1">
        <w:rPr>
          <w:rStyle w:val="FootnoteReference"/>
          <w:rFonts w:cs="Arial"/>
        </w:rPr>
        <w:footnoteRef/>
      </w:r>
      <w:r w:rsidRPr="00B446F1">
        <w:rPr>
          <w:rFonts w:cs="Arial"/>
          <w:lang w:val="es-ES"/>
        </w:rPr>
        <w:t xml:space="preserve"> </w:t>
      </w:r>
      <w:r>
        <w:rPr>
          <w:rFonts w:cs="Arial"/>
          <w:lang w:val="es-ES"/>
        </w:rPr>
        <w:tab/>
      </w:r>
      <w:r w:rsidRPr="00B446F1">
        <w:rPr>
          <w:rFonts w:cs="Arial"/>
          <w:lang w:val="es-ES"/>
        </w:rPr>
        <w:t xml:space="preserve">Proposición no de Ley presentada por el Grupo Parlamentario Socialista, sobre la actualización de la Estrategia Nacional de Salud Mental del Sistema Nacional de Salud [Boletín Oficial de las Cortes Generales. Congreso de los Diputados XII Legislatura (10 de mayo de 2017). </w:t>
      </w:r>
      <w:proofErr w:type="spellStart"/>
      <w:r w:rsidRPr="00B446F1">
        <w:rPr>
          <w:rFonts w:cs="Arial"/>
          <w:lang w:val="es-ES"/>
        </w:rPr>
        <w:t>Pps</w:t>
      </w:r>
      <w:proofErr w:type="spellEnd"/>
      <w:r w:rsidRPr="00B446F1">
        <w:rPr>
          <w:rFonts w:cs="Arial"/>
          <w:lang w:val="es-ES"/>
        </w:rPr>
        <w:t xml:space="preserve">. 79-80]. </w:t>
      </w:r>
      <w:proofErr w:type="spellStart"/>
      <w:r w:rsidRPr="00B446F1">
        <w:rPr>
          <w:rFonts w:cs="Arial"/>
          <w:lang w:val="es-ES"/>
        </w:rPr>
        <w:t>Available</w:t>
      </w:r>
      <w:proofErr w:type="spellEnd"/>
      <w:r w:rsidRPr="00B446F1">
        <w:rPr>
          <w:rFonts w:cs="Arial"/>
          <w:lang w:val="es-ES"/>
        </w:rPr>
        <w:t xml:space="preserve"> at: </w:t>
      </w:r>
      <w:hyperlink r:id="rId76" w:history="1">
        <w:r w:rsidRPr="00B446F1">
          <w:rPr>
            <w:rStyle w:val="Hyperlink"/>
            <w:rFonts w:cs="Arial"/>
            <w:lang w:val="es-ES"/>
          </w:rPr>
          <w:t>http://www.infocoponline.es/pdf/BOCG-12-D-150.pdf</w:t>
        </w:r>
      </w:hyperlink>
      <w:r w:rsidRPr="00B446F1">
        <w:rPr>
          <w:rFonts w:cs="Arial"/>
          <w:lang w:val="es-ES"/>
        </w:rPr>
        <w:t xml:space="preserve">. </w:t>
      </w:r>
    </w:p>
  </w:footnote>
  <w:footnote w:id="75">
    <w:p w14:paraId="3A446F1D" w14:textId="5A2F80BA" w:rsidR="008B6471" w:rsidRPr="00B446F1" w:rsidRDefault="008B6471" w:rsidP="00A22C73">
      <w:pPr>
        <w:ind w:left="284" w:hanging="284"/>
        <w:jc w:val="left"/>
        <w:rPr>
          <w:rFonts w:cs="Arial"/>
          <w:sz w:val="20"/>
          <w:lang w:val="en-US"/>
        </w:rPr>
      </w:pPr>
      <w:r w:rsidRPr="00B446F1">
        <w:rPr>
          <w:rStyle w:val="FootnoteReference"/>
          <w:rFonts w:eastAsiaTheme="minorEastAsia" w:cs="Arial"/>
        </w:rPr>
        <w:footnoteRef/>
      </w:r>
      <w:r>
        <w:rPr>
          <w:rFonts w:cs="Arial"/>
          <w:sz w:val="20"/>
          <w:lang w:val="es-ES"/>
        </w:rPr>
        <w:t xml:space="preserve"> </w:t>
      </w:r>
      <w:r>
        <w:rPr>
          <w:rFonts w:cs="Arial"/>
          <w:sz w:val="20"/>
          <w:lang w:val="es-ES"/>
        </w:rPr>
        <w:tab/>
      </w:r>
      <w:r w:rsidRPr="00B446F1">
        <w:rPr>
          <w:rFonts w:cs="Arial"/>
          <w:sz w:val="20"/>
          <w:lang w:val="es-ES"/>
        </w:rPr>
        <w:t xml:space="preserve">Rodríguez </w:t>
      </w:r>
      <w:proofErr w:type="spellStart"/>
      <w:r w:rsidRPr="00B446F1">
        <w:rPr>
          <w:rFonts w:cs="Arial"/>
          <w:sz w:val="20"/>
          <w:lang w:val="es-ES"/>
        </w:rPr>
        <w:t>Rodríguez</w:t>
      </w:r>
      <w:proofErr w:type="spellEnd"/>
      <w:r w:rsidRPr="00B446F1">
        <w:rPr>
          <w:rFonts w:cs="Arial"/>
          <w:sz w:val="20"/>
          <w:lang w:val="es-ES"/>
        </w:rPr>
        <w:t xml:space="preserve">, P., Ramos </w:t>
      </w:r>
      <w:proofErr w:type="spellStart"/>
      <w:r w:rsidRPr="00B446F1">
        <w:rPr>
          <w:rFonts w:cs="Arial"/>
          <w:sz w:val="20"/>
          <w:lang w:val="es-ES"/>
        </w:rPr>
        <w:t>Feijóo</w:t>
      </w:r>
      <w:proofErr w:type="spellEnd"/>
      <w:r w:rsidRPr="00B446F1">
        <w:rPr>
          <w:rFonts w:cs="Arial"/>
          <w:sz w:val="20"/>
          <w:lang w:val="es-ES"/>
        </w:rPr>
        <w:t>, C.,</w:t>
      </w:r>
      <w:r>
        <w:rPr>
          <w:rFonts w:cs="Arial"/>
          <w:sz w:val="20"/>
          <w:lang w:val="es-ES"/>
        </w:rPr>
        <w:t xml:space="preserve"> </w:t>
      </w:r>
      <w:r w:rsidRPr="00B446F1">
        <w:rPr>
          <w:rFonts w:cs="Arial"/>
          <w:sz w:val="20"/>
          <w:lang w:val="es-ES"/>
        </w:rPr>
        <w:t>García Mendoza, A.,</w:t>
      </w:r>
      <w:r>
        <w:rPr>
          <w:rFonts w:cs="Arial"/>
          <w:sz w:val="20"/>
          <w:lang w:val="es-ES"/>
        </w:rPr>
        <w:t xml:space="preserve"> </w:t>
      </w:r>
      <w:proofErr w:type="spellStart"/>
      <w:r w:rsidRPr="00B446F1">
        <w:rPr>
          <w:rFonts w:cs="Arial"/>
          <w:sz w:val="20"/>
          <w:lang w:val="es-ES"/>
        </w:rPr>
        <w:t>Dabbagh</w:t>
      </w:r>
      <w:proofErr w:type="spellEnd"/>
      <w:r w:rsidRPr="00B446F1">
        <w:rPr>
          <w:rFonts w:cs="Arial"/>
          <w:sz w:val="20"/>
          <w:lang w:val="es-ES"/>
        </w:rPr>
        <w:t xml:space="preserve"> </w:t>
      </w:r>
      <w:proofErr w:type="spellStart"/>
      <w:r w:rsidRPr="00B446F1">
        <w:rPr>
          <w:rFonts w:cs="Arial"/>
          <w:sz w:val="20"/>
          <w:lang w:val="es-ES"/>
        </w:rPr>
        <w:t>Rollán</w:t>
      </w:r>
      <w:proofErr w:type="spellEnd"/>
      <w:r w:rsidRPr="00B446F1">
        <w:rPr>
          <w:rFonts w:cs="Arial"/>
          <w:sz w:val="20"/>
          <w:lang w:val="es-ES"/>
        </w:rPr>
        <w:t>,</w:t>
      </w:r>
      <w:r>
        <w:rPr>
          <w:rFonts w:cs="Arial"/>
          <w:sz w:val="20"/>
          <w:lang w:val="es-ES"/>
        </w:rPr>
        <w:t xml:space="preserve"> </w:t>
      </w:r>
      <w:r w:rsidRPr="00B446F1">
        <w:rPr>
          <w:rFonts w:cs="Arial"/>
          <w:sz w:val="20"/>
          <w:lang w:val="es-ES"/>
        </w:rPr>
        <w:t xml:space="preserve">V.O., Mirete </w:t>
      </w:r>
      <w:proofErr w:type="spellStart"/>
      <w:r w:rsidRPr="00B446F1">
        <w:rPr>
          <w:rFonts w:cs="Arial"/>
          <w:sz w:val="20"/>
          <w:lang w:val="es-ES"/>
        </w:rPr>
        <w:t>Valmala</w:t>
      </w:r>
      <w:proofErr w:type="spellEnd"/>
      <w:r w:rsidRPr="00B446F1">
        <w:rPr>
          <w:rFonts w:cs="Arial"/>
          <w:sz w:val="20"/>
          <w:lang w:val="es-ES"/>
        </w:rPr>
        <w:t xml:space="preserve">, C., &amp; Castejón Villarejo, P. (2017). La atención en domicilios y comunidad a personas con discapacidad y personas mayores. Guía de innovación según el Modelo AICP. Madrid: Fundación Pilares. </w:t>
      </w:r>
      <w:r w:rsidRPr="00B446F1">
        <w:rPr>
          <w:rFonts w:cs="Arial"/>
          <w:sz w:val="20"/>
          <w:lang w:val="en-US"/>
        </w:rPr>
        <w:t>Available at:</w:t>
      </w:r>
      <w:r>
        <w:rPr>
          <w:rFonts w:cs="Arial"/>
          <w:sz w:val="20"/>
          <w:lang w:val="en-US"/>
        </w:rPr>
        <w:t xml:space="preserve"> </w:t>
      </w:r>
      <w:hyperlink r:id="rId77" w:history="1">
        <w:r w:rsidRPr="00B446F1">
          <w:rPr>
            <w:rStyle w:val="Hyperlink"/>
            <w:rFonts w:eastAsiaTheme="majorEastAsia" w:cs="Arial"/>
            <w:sz w:val="20"/>
            <w:lang w:val="en-US"/>
          </w:rPr>
          <w:t>http://www.fundacionpilares.org/docs/publicaciones/fpilares-guia02-domicilios-comunidad-2017.pdf</w:t>
        </w:r>
      </w:hyperlink>
      <w:r w:rsidRPr="00B446F1">
        <w:rPr>
          <w:rFonts w:cs="Arial"/>
          <w:sz w:val="20"/>
          <w:lang w:val="es-ES"/>
        </w:rPr>
        <w:t>.</w:t>
      </w:r>
    </w:p>
  </w:footnote>
  <w:footnote w:id="76">
    <w:p w14:paraId="6E677C15" w14:textId="4760CBC2" w:rsidR="008B6471" w:rsidRPr="00777653" w:rsidRDefault="008B6471" w:rsidP="00777653">
      <w:pPr>
        <w:ind w:left="284" w:hanging="284"/>
        <w:jc w:val="left"/>
        <w:rPr>
          <w:rFonts w:cs="Arial"/>
          <w:sz w:val="20"/>
          <w:lang w:val="es-ES"/>
        </w:rPr>
      </w:pPr>
      <w:r w:rsidRPr="00B446F1">
        <w:rPr>
          <w:rStyle w:val="FootnoteReference"/>
          <w:rFonts w:cs="Arial"/>
        </w:rPr>
        <w:footnoteRef/>
      </w:r>
      <w:r w:rsidRPr="00B446F1">
        <w:rPr>
          <w:rFonts w:cs="Arial"/>
          <w:sz w:val="20"/>
          <w:lang w:val="es-ES"/>
        </w:rPr>
        <w:t xml:space="preserve"> </w:t>
      </w:r>
      <w:r>
        <w:rPr>
          <w:rFonts w:cs="Arial"/>
          <w:sz w:val="20"/>
          <w:lang w:val="es-ES"/>
        </w:rPr>
        <w:tab/>
      </w:r>
      <w:r w:rsidRPr="00B446F1">
        <w:rPr>
          <w:rFonts w:cs="Arial"/>
          <w:sz w:val="20"/>
          <w:lang w:val="es-ES"/>
        </w:rPr>
        <w:t xml:space="preserve">Fundación Pilares (2015). Cuidamos contigo. Memoria: Proyecto piloto de atención integral y centrada en la persona en el Distrito de Chamberí (Madrid), mediante gestión de casos (2014-2015). Madrid: Fundación Pilares. </w:t>
      </w:r>
      <w:proofErr w:type="spellStart"/>
      <w:r w:rsidRPr="00B446F1">
        <w:rPr>
          <w:rFonts w:cs="Arial"/>
          <w:sz w:val="20"/>
          <w:lang w:val="es-ES"/>
        </w:rPr>
        <w:t>Available</w:t>
      </w:r>
      <w:proofErr w:type="spellEnd"/>
      <w:r w:rsidRPr="00B446F1">
        <w:rPr>
          <w:rFonts w:cs="Arial"/>
          <w:sz w:val="20"/>
          <w:lang w:val="es-ES"/>
        </w:rPr>
        <w:t xml:space="preserve"> at: </w:t>
      </w:r>
      <w:hyperlink r:id="rId78" w:history="1">
        <w:r w:rsidRPr="00777653">
          <w:rPr>
            <w:rStyle w:val="Hyperlink"/>
            <w:rFonts w:cs="Arial"/>
            <w:sz w:val="20"/>
            <w:lang w:val="es-ES"/>
          </w:rPr>
          <w:t>http://www.fundacionpilares.org/docs/programas/cuidamos-contigo/memoria-cuidamoscontigo-2014-2015.pdf</w:t>
        </w:r>
      </w:hyperlink>
      <w:r w:rsidRPr="00B446F1">
        <w:rPr>
          <w:rFonts w:cs="Arial"/>
          <w:sz w:val="20"/>
          <w:lang w:val="es-ES"/>
        </w:rPr>
        <w:t>.</w:t>
      </w:r>
      <w:r w:rsidRPr="00777653">
        <w:rPr>
          <w:rFonts w:cs="Arial"/>
          <w:sz w:val="20"/>
          <w:lang w:val="es-ES"/>
        </w:rPr>
        <w:t xml:space="preserve"> </w:t>
      </w:r>
    </w:p>
  </w:footnote>
  <w:footnote w:id="77">
    <w:p w14:paraId="13101596" w14:textId="6B5A68AD" w:rsidR="008B6471" w:rsidRPr="00B446F1" w:rsidRDefault="008B6471" w:rsidP="00777653">
      <w:pPr>
        <w:ind w:left="284" w:hanging="284"/>
        <w:jc w:val="left"/>
        <w:rPr>
          <w:rFonts w:cs="Arial"/>
          <w:lang w:val="es-ES"/>
        </w:rPr>
      </w:pPr>
      <w:r w:rsidRPr="00777653">
        <w:rPr>
          <w:rStyle w:val="FootnoteReference"/>
          <w:rFonts w:cs="Arial"/>
        </w:rPr>
        <w:footnoteRef/>
      </w:r>
      <w:r>
        <w:rPr>
          <w:rFonts w:cs="Arial"/>
          <w:sz w:val="20"/>
          <w:lang w:val="es-ES"/>
        </w:rPr>
        <w:t xml:space="preserve"> </w:t>
      </w:r>
      <w:r>
        <w:rPr>
          <w:rFonts w:cs="Arial"/>
          <w:sz w:val="20"/>
          <w:lang w:val="es-ES"/>
        </w:rPr>
        <w:tab/>
      </w:r>
      <w:r w:rsidRPr="00777653">
        <w:rPr>
          <w:rFonts w:cs="Arial"/>
          <w:sz w:val="20"/>
          <w:lang w:val="es-ES"/>
        </w:rPr>
        <w:t>F</w:t>
      </w:r>
      <w:r w:rsidRPr="00B446F1">
        <w:rPr>
          <w:rFonts w:cs="Arial"/>
          <w:sz w:val="20"/>
          <w:lang w:val="es-ES"/>
        </w:rPr>
        <w:t xml:space="preserve">undación Pilares (2015). Cuidamos contigo. Memoria: Proyecto piloto de atención integral y centrada en la persona en el Distrito de Chamberí (Madrid), mediante gestión de casos (2014-2015). Madrid: Fundación Pilares. </w:t>
      </w:r>
      <w:proofErr w:type="spellStart"/>
      <w:r w:rsidRPr="00B446F1">
        <w:rPr>
          <w:rFonts w:cs="Arial"/>
          <w:sz w:val="20"/>
          <w:lang w:val="es-ES"/>
        </w:rPr>
        <w:t>Available</w:t>
      </w:r>
      <w:proofErr w:type="spellEnd"/>
      <w:r w:rsidRPr="00B446F1">
        <w:rPr>
          <w:rFonts w:cs="Arial"/>
          <w:sz w:val="20"/>
          <w:lang w:val="es-ES"/>
        </w:rPr>
        <w:t xml:space="preserve"> at:</w:t>
      </w:r>
      <w:r w:rsidRPr="00777653">
        <w:rPr>
          <w:rFonts w:cs="Arial"/>
          <w:sz w:val="16"/>
          <w:lang w:val="es-ES"/>
        </w:rPr>
        <w:t xml:space="preserve"> </w:t>
      </w:r>
      <w:hyperlink r:id="rId79" w:history="1">
        <w:r w:rsidRPr="00777653">
          <w:rPr>
            <w:rStyle w:val="Hyperlink"/>
            <w:rFonts w:cs="Arial"/>
            <w:sz w:val="20"/>
            <w:lang w:val="es-ES"/>
          </w:rPr>
          <w:t>http://www.fundacionpilares.org/programas/cuidamos-contigo/index.php</w:t>
        </w:r>
      </w:hyperlink>
      <w:r w:rsidRPr="00777653">
        <w:rPr>
          <w:rFonts w:cs="Arial"/>
          <w:sz w:val="20"/>
          <w:lang w:val="es-ES"/>
        </w:rPr>
        <w:t xml:space="preserve">. </w:t>
      </w:r>
    </w:p>
  </w:footnote>
  <w:footnote w:id="78">
    <w:p w14:paraId="6B18DAF4" w14:textId="676E13F7" w:rsidR="008B6471" w:rsidRPr="00777653" w:rsidRDefault="008B6471" w:rsidP="00777653">
      <w:pPr>
        <w:ind w:left="284" w:hanging="284"/>
        <w:jc w:val="left"/>
        <w:rPr>
          <w:rFonts w:cs="Arial"/>
          <w:sz w:val="20"/>
          <w:lang w:val="en-US"/>
        </w:rPr>
      </w:pPr>
      <w:r w:rsidRPr="00B446F1">
        <w:rPr>
          <w:rStyle w:val="FootnoteReference"/>
          <w:rFonts w:eastAsiaTheme="majorEastAsia" w:cs="Arial"/>
        </w:rPr>
        <w:footnoteRef/>
      </w:r>
      <w:r w:rsidRPr="00B446F1">
        <w:rPr>
          <w:rFonts w:cs="Arial"/>
          <w:sz w:val="20"/>
          <w:lang w:val="es-ES"/>
        </w:rPr>
        <w:t xml:space="preserve"> </w:t>
      </w:r>
      <w:r>
        <w:rPr>
          <w:rFonts w:cs="Arial"/>
          <w:sz w:val="20"/>
          <w:lang w:val="es-ES"/>
        </w:rPr>
        <w:tab/>
      </w:r>
      <w:r w:rsidRPr="00B446F1">
        <w:rPr>
          <w:rFonts w:cs="Arial"/>
          <w:sz w:val="20"/>
          <w:lang w:val="es-ES"/>
        </w:rPr>
        <w:t xml:space="preserve">Plena Inclusión (2018). Viaje de transformación. Experiencia de Gales. Modelos de vivienda y vida en la comunidad para personas con grandes necesidades de apoyo. </w:t>
      </w:r>
      <w:r w:rsidRPr="00B446F1">
        <w:rPr>
          <w:rFonts w:cs="Arial"/>
          <w:sz w:val="20"/>
        </w:rPr>
        <w:t>Available at:</w:t>
      </w:r>
      <w:r>
        <w:rPr>
          <w:rFonts w:cs="Arial"/>
          <w:sz w:val="20"/>
        </w:rPr>
        <w:t xml:space="preserve"> </w:t>
      </w:r>
      <w:hyperlink r:id="rId80" w:history="1">
        <w:r w:rsidRPr="00C202A6">
          <w:rPr>
            <w:rStyle w:val="Hyperlink"/>
            <w:rFonts w:cs="Arial"/>
            <w:sz w:val="20"/>
            <w:lang w:val="en-US"/>
          </w:rPr>
          <w:t>https://media-edg.barcelona.cat/wp-content/uploads/2018/05/24162501/PROYECTO-MI-CASA.pdf</w:t>
        </w:r>
      </w:hyperlink>
      <w:r>
        <w:rPr>
          <w:rFonts w:cs="Arial"/>
          <w:sz w:val="20"/>
          <w:lang w:val="en-US"/>
        </w:rPr>
        <w:t xml:space="preserve">. </w:t>
      </w:r>
    </w:p>
  </w:footnote>
  <w:footnote w:id="79">
    <w:p w14:paraId="3394BD13" w14:textId="3D1A7442" w:rsidR="008B6471" w:rsidRPr="00B446F1" w:rsidRDefault="008B6471" w:rsidP="00A22C73">
      <w:pPr>
        <w:pStyle w:val="FootnoteText"/>
        <w:ind w:left="284" w:hanging="284"/>
        <w:jc w:val="left"/>
        <w:rPr>
          <w:rFonts w:cs="Arial"/>
          <w:lang w:val="en-US"/>
        </w:rPr>
      </w:pPr>
      <w:r w:rsidRPr="00B446F1">
        <w:rPr>
          <w:rStyle w:val="FootnoteReference"/>
          <w:rFonts w:eastAsiaTheme="majorEastAsia" w:cs="Arial"/>
        </w:rPr>
        <w:footnoteRef/>
      </w:r>
      <w:r w:rsidRPr="00B446F1">
        <w:rPr>
          <w:rFonts w:cs="Arial"/>
          <w:lang w:val="es-ES"/>
        </w:rPr>
        <w:t xml:space="preserve"> </w:t>
      </w:r>
      <w:r>
        <w:rPr>
          <w:rFonts w:cs="Arial"/>
          <w:lang w:val="es-ES"/>
        </w:rPr>
        <w:tab/>
      </w:r>
      <w:r w:rsidRPr="00B446F1">
        <w:rPr>
          <w:rFonts w:cs="Arial"/>
          <w:lang w:val="es-ES"/>
        </w:rPr>
        <w:t xml:space="preserve">Plena Inclusión (2018). Viaje de transformación. Experiencia de Gales. Modelos de vivienda y vida en la comunidad para personas con grandes necesidades de apoyo. </w:t>
      </w:r>
      <w:r w:rsidRPr="00B446F1">
        <w:rPr>
          <w:rFonts w:cs="Arial"/>
        </w:rPr>
        <w:t>Available at:</w:t>
      </w:r>
      <w:r>
        <w:rPr>
          <w:rFonts w:cs="Arial"/>
        </w:rPr>
        <w:t xml:space="preserve"> </w:t>
      </w:r>
      <w:hyperlink r:id="rId81" w:history="1">
        <w:r w:rsidRPr="00C202A6">
          <w:rPr>
            <w:rStyle w:val="Hyperlink"/>
            <w:rFonts w:cs="Arial"/>
            <w:lang w:val="en-US"/>
          </w:rPr>
          <w:t>https://media-edg.barcelona.cat/wp-content/uploads/2018/05/24162501/PROYECTO-MI-CASA.pdf</w:t>
        </w:r>
      </w:hyperlink>
      <w:r>
        <w:rPr>
          <w:rFonts w:cs="Arial"/>
          <w:lang w:val="en-US"/>
        </w:rPr>
        <w:t xml:space="preserve">. </w:t>
      </w:r>
    </w:p>
  </w:footnote>
  <w:footnote w:id="80">
    <w:p w14:paraId="6C26543F" w14:textId="010BCBCA" w:rsidR="008B6471" w:rsidRPr="00B446F1" w:rsidRDefault="008B6471" w:rsidP="00A22C73">
      <w:pPr>
        <w:pStyle w:val="FootnoteText"/>
        <w:ind w:left="284" w:hanging="284"/>
        <w:jc w:val="left"/>
        <w:rPr>
          <w:rFonts w:cs="Arial"/>
          <w:lang w:val="en-US"/>
        </w:rPr>
      </w:pPr>
      <w:r w:rsidRPr="00B446F1">
        <w:rPr>
          <w:rStyle w:val="FootnoteReference"/>
          <w:rFonts w:eastAsiaTheme="majorEastAsia" w:cs="Arial"/>
        </w:rPr>
        <w:footnoteRef/>
      </w:r>
      <w:r w:rsidRPr="00B446F1">
        <w:rPr>
          <w:rFonts w:cs="Arial"/>
          <w:lang w:val="es-ES"/>
        </w:rPr>
        <w:t xml:space="preserve"> </w:t>
      </w:r>
      <w:r>
        <w:rPr>
          <w:rFonts w:cs="Arial"/>
          <w:lang w:val="es-ES"/>
        </w:rPr>
        <w:tab/>
      </w:r>
      <w:r w:rsidRPr="00B446F1">
        <w:rPr>
          <w:rFonts w:cs="Arial"/>
          <w:lang w:val="es-ES"/>
        </w:rPr>
        <w:t xml:space="preserve">Plena Inclusión (2018). Viaje de transformación. Experiencia de Gales. Modelos de vivienda y vida en la comunidad para personas con grandes necesidades de apoyo. </w:t>
      </w:r>
      <w:r w:rsidRPr="00B446F1">
        <w:rPr>
          <w:rFonts w:cs="Arial"/>
        </w:rPr>
        <w:t>Available at:</w:t>
      </w:r>
      <w:r>
        <w:rPr>
          <w:rFonts w:cs="Arial"/>
        </w:rPr>
        <w:t xml:space="preserve"> </w:t>
      </w:r>
      <w:hyperlink r:id="rId82" w:history="1">
        <w:r w:rsidRPr="00C202A6">
          <w:rPr>
            <w:rStyle w:val="Hyperlink"/>
            <w:rFonts w:cs="Arial"/>
            <w:lang w:val="en-US"/>
          </w:rPr>
          <w:t>https://media-edg.barcelona.cat/wp-content/uploads/2018/05/24162501/PROYECTO-MI-CASA.pdf</w:t>
        </w:r>
      </w:hyperlink>
      <w:r>
        <w:rPr>
          <w:rFonts w:cs="Arial"/>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1B145" w14:textId="77777777" w:rsidR="008B6471" w:rsidRDefault="008B6471" w:rsidP="00D9246D">
    <w:pPr>
      <w:pStyle w:val="Header"/>
      <w:tabs>
        <w:tab w:val="clear" w:pos="9072"/>
        <w:tab w:val="right" w:pos="9063"/>
      </w:tabs>
    </w:pPr>
  </w:p>
  <w:p w14:paraId="12FA5D3D" w14:textId="77777777" w:rsidR="008B6471" w:rsidRDefault="008B6471" w:rsidP="00D9246D">
    <w:pPr>
      <w:pStyle w:val="Header"/>
      <w:tabs>
        <w:tab w:val="clear" w:pos="9072"/>
        <w:tab w:val="right" w:pos="9063"/>
      </w:tabs>
    </w:pPr>
  </w:p>
  <w:p w14:paraId="29D7B757" w14:textId="77777777" w:rsidR="008B6471" w:rsidRDefault="008B6471" w:rsidP="00D9246D">
    <w:pPr>
      <w:pStyle w:val="Header"/>
      <w:tabs>
        <w:tab w:val="clear" w:pos="9072"/>
        <w:tab w:val="right" w:pos="9063"/>
      </w:tabs>
    </w:pPr>
  </w:p>
  <w:p w14:paraId="53A157B3" w14:textId="77777777" w:rsidR="008B6471" w:rsidRDefault="008B6471" w:rsidP="00A75929">
    <w:pPr>
      <w:pStyle w:val="Header"/>
      <w:tabs>
        <w:tab w:val="clear" w:pos="9072"/>
        <w:tab w:val="right" w:pos="9063"/>
      </w:tabs>
      <w:jc w:val="center"/>
      <w:rPr>
        <w:sz w:val="16"/>
        <w:szCs w:val="16"/>
      </w:rPr>
    </w:pPr>
    <w:r>
      <w:rPr>
        <w:sz w:val="16"/>
        <w:szCs w:val="16"/>
      </w:rPr>
      <w:t>ANED 2018-19 – Living independently and being included in the community – country report</w:t>
    </w:r>
  </w:p>
  <w:p w14:paraId="6FAE58B9" w14:textId="77777777" w:rsidR="008B6471" w:rsidRPr="00A75929" w:rsidRDefault="00C0504C" w:rsidP="00A75929">
    <w:pPr>
      <w:pStyle w:val="Header"/>
      <w:tabs>
        <w:tab w:val="clear" w:pos="9072"/>
        <w:tab w:val="right" w:pos="9063"/>
      </w:tabs>
      <w:jc w:val="center"/>
      <w:rPr>
        <w:sz w:val="16"/>
        <w:szCs w:val="16"/>
      </w:rPr>
    </w:pPr>
    <w:r>
      <w:rPr>
        <w:noProof/>
        <w:sz w:val="16"/>
        <w:szCs w:val="16"/>
      </w:rPr>
      <w:pict w14:anchorId="2070270D">
        <v:rect id="_x0000_i1025" style="width:453.15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14E0"/>
    <w:multiLevelType w:val="multilevel"/>
    <w:tmpl w:val="21D8A9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D4D7B86"/>
    <w:multiLevelType w:val="hybridMultilevel"/>
    <w:tmpl w:val="D2EEABCA"/>
    <w:lvl w:ilvl="0" w:tplc="C5A02C66">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EF2278"/>
    <w:multiLevelType w:val="hybridMultilevel"/>
    <w:tmpl w:val="0B44895E"/>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3" w15:restartNumberingAfterBreak="0">
    <w:nsid w:val="18AF3210"/>
    <w:multiLevelType w:val="hybridMultilevel"/>
    <w:tmpl w:val="A502F1A6"/>
    <w:lvl w:ilvl="0" w:tplc="71A2EF7C">
      <w:start w:val="1"/>
      <w:numFmt w:val="bullet"/>
      <w:lvlText w:val="­"/>
      <w:lvlJc w:val="left"/>
      <w:pPr>
        <w:ind w:left="1287" w:hanging="360"/>
      </w:pPr>
      <w:rPr>
        <w:rFonts w:ascii="Arial" w:hAnsi="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1A416035"/>
    <w:multiLevelType w:val="hybridMultilevel"/>
    <w:tmpl w:val="13CCB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1839EC"/>
    <w:multiLevelType w:val="multilevel"/>
    <w:tmpl w:val="B502C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1C22B7"/>
    <w:multiLevelType w:val="hybridMultilevel"/>
    <w:tmpl w:val="A2644F06"/>
    <w:lvl w:ilvl="0" w:tplc="1188F390">
      <w:start w:val="1"/>
      <w:numFmt w:val="lowerLetter"/>
      <w:pStyle w:val="p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D96AA7"/>
    <w:multiLevelType w:val="hybridMultilevel"/>
    <w:tmpl w:val="A7EA264C"/>
    <w:lvl w:ilvl="0" w:tplc="26FAA5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717CC5"/>
    <w:multiLevelType w:val="multilevel"/>
    <w:tmpl w:val="5772329A"/>
    <w:lvl w:ilvl="0">
      <w:start w:val="4"/>
      <w:numFmt w:val="decimal"/>
      <w:lvlText w:val="%1."/>
      <w:lvlJc w:val="left"/>
      <w:pPr>
        <w:ind w:left="927" w:hanging="360"/>
      </w:pPr>
      <w:rPr>
        <w:rFonts w:hint="default"/>
      </w:rPr>
    </w:lvl>
    <w:lvl w:ilvl="1">
      <w:start w:val="2"/>
      <w:numFmt w:val="decimal"/>
      <w:isLgl/>
      <w:lvlText w:val="%1.%2"/>
      <w:lvlJc w:val="left"/>
      <w:pPr>
        <w:ind w:left="1127" w:hanging="5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033597A"/>
    <w:multiLevelType w:val="hybridMultilevel"/>
    <w:tmpl w:val="D478AFF2"/>
    <w:lvl w:ilvl="0" w:tplc="26FAA518">
      <w:start w:val="1"/>
      <w:numFmt w:val="bullet"/>
      <w:lvlText w:val=""/>
      <w:lvlJc w:val="left"/>
      <w:pPr>
        <w:ind w:left="720" w:hanging="360"/>
      </w:pPr>
      <w:rPr>
        <w:rFonts w:ascii="Symbol" w:hAnsi="Symbol" w:hint="default"/>
      </w:rPr>
    </w:lvl>
    <w:lvl w:ilvl="1" w:tplc="26FAA518">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53A68"/>
    <w:multiLevelType w:val="hybridMultilevel"/>
    <w:tmpl w:val="B43AA158"/>
    <w:lvl w:ilvl="0" w:tplc="4DAADB42">
      <w:start w:val="1"/>
      <w:numFmt w:val="bullet"/>
      <w:pStyle w:val="ListDash"/>
      <w:lvlText w:val="­"/>
      <w:lvlJc w:val="left"/>
      <w:pPr>
        <w:ind w:left="-612" w:hanging="360"/>
      </w:pPr>
      <w:rPr>
        <w:rFonts w:ascii="Times New Roman" w:hAnsi="Times New Roman" w:cs="Times New Roman" w:hint="default"/>
      </w:rPr>
    </w:lvl>
    <w:lvl w:ilvl="1" w:tplc="04090003" w:tentative="1">
      <w:start w:val="1"/>
      <w:numFmt w:val="bullet"/>
      <w:lvlText w:val="o"/>
      <w:lvlJc w:val="left"/>
      <w:pPr>
        <w:ind w:left="108" w:hanging="360"/>
      </w:pPr>
      <w:rPr>
        <w:rFonts w:ascii="Courier New" w:hAnsi="Courier New" w:hint="default"/>
      </w:rPr>
    </w:lvl>
    <w:lvl w:ilvl="2" w:tplc="04090005" w:tentative="1">
      <w:start w:val="1"/>
      <w:numFmt w:val="bullet"/>
      <w:lvlText w:val=""/>
      <w:lvlJc w:val="left"/>
      <w:pPr>
        <w:ind w:left="828" w:hanging="360"/>
      </w:pPr>
      <w:rPr>
        <w:rFonts w:ascii="Wingdings" w:hAnsi="Wingdings" w:hint="default"/>
      </w:rPr>
    </w:lvl>
    <w:lvl w:ilvl="3" w:tplc="04090001" w:tentative="1">
      <w:start w:val="1"/>
      <w:numFmt w:val="bullet"/>
      <w:lvlText w:val=""/>
      <w:lvlJc w:val="left"/>
      <w:pPr>
        <w:ind w:left="1548" w:hanging="360"/>
      </w:pPr>
      <w:rPr>
        <w:rFonts w:ascii="Symbol" w:hAnsi="Symbol" w:hint="default"/>
      </w:rPr>
    </w:lvl>
    <w:lvl w:ilvl="4" w:tplc="04090003" w:tentative="1">
      <w:start w:val="1"/>
      <w:numFmt w:val="bullet"/>
      <w:lvlText w:val="o"/>
      <w:lvlJc w:val="left"/>
      <w:pPr>
        <w:ind w:left="2268" w:hanging="360"/>
      </w:pPr>
      <w:rPr>
        <w:rFonts w:ascii="Courier New" w:hAnsi="Courier New" w:hint="default"/>
      </w:rPr>
    </w:lvl>
    <w:lvl w:ilvl="5" w:tplc="04090005" w:tentative="1">
      <w:start w:val="1"/>
      <w:numFmt w:val="bullet"/>
      <w:lvlText w:val=""/>
      <w:lvlJc w:val="left"/>
      <w:pPr>
        <w:ind w:left="2988" w:hanging="360"/>
      </w:pPr>
      <w:rPr>
        <w:rFonts w:ascii="Wingdings" w:hAnsi="Wingdings" w:hint="default"/>
      </w:rPr>
    </w:lvl>
    <w:lvl w:ilvl="6" w:tplc="04090001" w:tentative="1">
      <w:start w:val="1"/>
      <w:numFmt w:val="bullet"/>
      <w:lvlText w:val=""/>
      <w:lvlJc w:val="left"/>
      <w:pPr>
        <w:ind w:left="3708" w:hanging="360"/>
      </w:pPr>
      <w:rPr>
        <w:rFonts w:ascii="Symbol" w:hAnsi="Symbol" w:hint="default"/>
      </w:rPr>
    </w:lvl>
    <w:lvl w:ilvl="7" w:tplc="04090003" w:tentative="1">
      <w:start w:val="1"/>
      <w:numFmt w:val="bullet"/>
      <w:lvlText w:val="o"/>
      <w:lvlJc w:val="left"/>
      <w:pPr>
        <w:ind w:left="4428" w:hanging="360"/>
      </w:pPr>
      <w:rPr>
        <w:rFonts w:ascii="Courier New" w:hAnsi="Courier New" w:hint="default"/>
      </w:rPr>
    </w:lvl>
    <w:lvl w:ilvl="8" w:tplc="04090005" w:tentative="1">
      <w:start w:val="1"/>
      <w:numFmt w:val="bullet"/>
      <w:lvlText w:val=""/>
      <w:lvlJc w:val="left"/>
      <w:pPr>
        <w:ind w:left="5148" w:hanging="360"/>
      </w:pPr>
      <w:rPr>
        <w:rFonts w:ascii="Wingdings" w:hAnsi="Wingdings" w:hint="default"/>
      </w:rPr>
    </w:lvl>
  </w:abstractNum>
  <w:abstractNum w:abstractNumId="11" w15:restartNumberingAfterBreak="0">
    <w:nsid w:val="3AF7458F"/>
    <w:multiLevelType w:val="multilevel"/>
    <w:tmpl w:val="97CC1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A8272A"/>
    <w:multiLevelType w:val="hybridMultilevel"/>
    <w:tmpl w:val="76E00C48"/>
    <w:lvl w:ilvl="0" w:tplc="71A2EF7C">
      <w:start w:val="1"/>
      <w:numFmt w:val="bullet"/>
      <w:lvlText w:val="­"/>
      <w:lvlJc w:val="left"/>
      <w:pPr>
        <w:ind w:left="1287" w:hanging="360"/>
      </w:pPr>
      <w:rPr>
        <w:rFonts w:ascii="Arial" w:hAnsi="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4D503D40"/>
    <w:multiLevelType w:val="hybridMultilevel"/>
    <w:tmpl w:val="0D56E6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F56900"/>
    <w:multiLevelType w:val="hybridMultilevel"/>
    <w:tmpl w:val="EBAA93E2"/>
    <w:lvl w:ilvl="0" w:tplc="4FE0CB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E089A"/>
    <w:multiLevelType w:val="multilevel"/>
    <w:tmpl w:val="8B88865E"/>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FE66AA8"/>
    <w:multiLevelType w:val="hybridMultilevel"/>
    <w:tmpl w:val="E4F658FA"/>
    <w:lvl w:ilvl="0" w:tplc="71A2EF7C">
      <w:start w:val="1"/>
      <w:numFmt w:val="bullet"/>
      <w:lvlText w:val="­"/>
      <w:lvlJc w:val="left"/>
      <w:pPr>
        <w:ind w:left="1287" w:hanging="360"/>
      </w:pPr>
      <w:rPr>
        <w:rFonts w:ascii="Arial" w:hAnsi="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15:restartNumberingAfterBreak="0">
    <w:nsid w:val="5659519A"/>
    <w:multiLevelType w:val="hybridMultilevel"/>
    <w:tmpl w:val="F3580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8A62572"/>
    <w:multiLevelType w:val="multilevel"/>
    <w:tmpl w:val="DF985DF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851931"/>
    <w:multiLevelType w:val="hybridMultilevel"/>
    <w:tmpl w:val="EBD4AFE2"/>
    <w:lvl w:ilvl="0" w:tplc="6FF21F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5FF337B4"/>
    <w:multiLevelType w:val="hybridMultilevel"/>
    <w:tmpl w:val="902202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3100DE"/>
    <w:multiLevelType w:val="hybridMultilevel"/>
    <w:tmpl w:val="DAE4E124"/>
    <w:lvl w:ilvl="0" w:tplc="71A2EF7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A45193"/>
    <w:multiLevelType w:val="hybridMultilevel"/>
    <w:tmpl w:val="58308CEA"/>
    <w:lvl w:ilvl="0" w:tplc="26FAA5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31BA1"/>
    <w:multiLevelType w:val="hybridMultilevel"/>
    <w:tmpl w:val="54800D4A"/>
    <w:lvl w:ilvl="0" w:tplc="71A2EF7C">
      <w:start w:val="1"/>
      <w:numFmt w:val="bullet"/>
      <w:lvlText w:val="­"/>
      <w:lvlJc w:val="left"/>
      <w:pPr>
        <w:ind w:left="1287" w:hanging="360"/>
      </w:pPr>
      <w:rPr>
        <w:rFonts w:ascii="Arial" w:hAnsi="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4" w15:restartNumberingAfterBreak="0">
    <w:nsid w:val="61F533B0"/>
    <w:multiLevelType w:val="hybridMultilevel"/>
    <w:tmpl w:val="E7B006D2"/>
    <w:lvl w:ilvl="0" w:tplc="B7C8FE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234EC7"/>
    <w:multiLevelType w:val="hybridMultilevel"/>
    <w:tmpl w:val="769499E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6" w15:restartNumberingAfterBreak="0">
    <w:nsid w:val="65EF5BC0"/>
    <w:multiLevelType w:val="hybridMultilevel"/>
    <w:tmpl w:val="F0AEFB24"/>
    <w:lvl w:ilvl="0" w:tplc="9DB6D3A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EFC7F46"/>
    <w:multiLevelType w:val="hybridMultilevel"/>
    <w:tmpl w:val="DD2C7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0F357E"/>
    <w:multiLevelType w:val="hybridMultilevel"/>
    <w:tmpl w:val="638EB332"/>
    <w:lvl w:ilvl="0" w:tplc="EA2C225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DB1068"/>
    <w:multiLevelType w:val="hybridMultilevel"/>
    <w:tmpl w:val="6FA8F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4B224B"/>
    <w:multiLevelType w:val="multilevel"/>
    <w:tmpl w:val="8C5E8DC2"/>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7D434B9D"/>
    <w:multiLevelType w:val="hybridMultilevel"/>
    <w:tmpl w:val="2006F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0"/>
  </w:num>
  <w:num w:numId="3">
    <w:abstractNumId w:val="0"/>
  </w:num>
  <w:num w:numId="4">
    <w:abstractNumId w:val="0"/>
  </w:num>
  <w:num w:numId="5">
    <w:abstractNumId w:val="0"/>
  </w:num>
  <w:num w:numId="6">
    <w:abstractNumId w:val="10"/>
  </w:num>
  <w:num w:numId="7">
    <w:abstractNumId w:val="29"/>
  </w:num>
  <w:num w:numId="8">
    <w:abstractNumId w:val="24"/>
  </w:num>
  <w:num w:numId="9">
    <w:abstractNumId w:val="28"/>
  </w:num>
  <w:num w:numId="10">
    <w:abstractNumId w:val="1"/>
  </w:num>
  <w:num w:numId="11">
    <w:abstractNumId w:val="5"/>
  </w:num>
  <w:num w:numId="12">
    <w:abstractNumId w:val="0"/>
    <w:lvlOverride w:ilvl="0">
      <w:startOverride w:val="1"/>
    </w:lvlOverride>
    <w:lvlOverride w:ilvl="1">
      <w:startOverride w:val="1"/>
    </w:lvlOverride>
  </w:num>
  <w:num w:numId="13">
    <w:abstractNumId w:val="14"/>
  </w:num>
  <w:num w:numId="14">
    <w:abstractNumId w:val="18"/>
  </w:num>
  <w:num w:numId="15">
    <w:abstractNumId w:val="26"/>
  </w:num>
  <w:num w:numId="16">
    <w:abstractNumId w:val="9"/>
  </w:num>
  <w:num w:numId="17">
    <w:abstractNumId w:val="11"/>
  </w:num>
  <w:num w:numId="18">
    <w:abstractNumId w:val="22"/>
  </w:num>
  <w:num w:numId="19">
    <w:abstractNumId w:val="15"/>
  </w:num>
  <w:num w:numId="20">
    <w:abstractNumId w:val="7"/>
  </w:num>
  <w:num w:numId="21">
    <w:abstractNumId w:val="30"/>
  </w:num>
  <w:num w:numId="22">
    <w:abstractNumId w:val="8"/>
  </w:num>
  <w:num w:numId="23">
    <w:abstractNumId w:val="30"/>
    <w:lvlOverride w:ilvl="0">
      <w:startOverride w:val="5"/>
    </w:lvlOverride>
  </w:num>
  <w:num w:numId="24">
    <w:abstractNumId w:val="3"/>
  </w:num>
  <w:num w:numId="25">
    <w:abstractNumId w:val="23"/>
  </w:num>
  <w:num w:numId="26">
    <w:abstractNumId w:val="12"/>
  </w:num>
  <w:num w:numId="27">
    <w:abstractNumId w:val="16"/>
  </w:num>
  <w:num w:numId="28">
    <w:abstractNumId w:val="21"/>
  </w:num>
  <w:num w:numId="29">
    <w:abstractNumId w:val="2"/>
  </w:num>
  <w:num w:numId="30">
    <w:abstractNumId w:val="17"/>
  </w:num>
  <w:num w:numId="31">
    <w:abstractNumId w:val="25"/>
  </w:num>
  <w:num w:numId="32">
    <w:abstractNumId w:val="6"/>
  </w:num>
  <w:num w:numId="33">
    <w:abstractNumId w:val="20"/>
  </w:num>
  <w:num w:numId="34">
    <w:abstractNumId w:val="13"/>
  </w:num>
  <w:num w:numId="35">
    <w:abstractNumId w:val="27"/>
  </w:num>
  <w:num w:numId="36">
    <w:abstractNumId w:val="31"/>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9A8"/>
    <w:rsid w:val="0002056F"/>
    <w:rsid w:val="00020F79"/>
    <w:rsid w:val="00024EC5"/>
    <w:rsid w:val="000258A0"/>
    <w:rsid w:val="00025CE0"/>
    <w:rsid w:val="00026A54"/>
    <w:rsid w:val="00034BDC"/>
    <w:rsid w:val="000356A9"/>
    <w:rsid w:val="0004157F"/>
    <w:rsid w:val="00044C2F"/>
    <w:rsid w:val="0005196C"/>
    <w:rsid w:val="00054B40"/>
    <w:rsid w:val="00066073"/>
    <w:rsid w:val="000660FC"/>
    <w:rsid w:val="00072A12"/>
    <w:rsid w:val="00075499"/>
    <w:rsid w:val="00077016"/>
    <w:rsid w:val="00087F77"/>
    <w:rsid w:val="00090E89"/>
    <w:rsid w:val="00094354"/>
    <w:rsid w:val="000A36CA"/>
    <w:rsid w:val="000B7069"/>
    <w:rsid w:val="000B7C5D"/>
    <w:rsid w:val="000C1CF8"/>
    <w:rsid w:val="000C22F8"/>
    <w:rsid w:val="000D00E1"/>
    <w:rsid w:val="000D639B"/>
    <w:rsid w:val="000D694B"/>
    <w:rsid w:val="000E40E5"/>
    <w:rsid w:val="000E418A"/>
    <w:rsid w:val="000E7AC3"/>
    <w:rsid w:val="000F0412"/>
    <w:rsid w:val="000F06D8"/>
    <w:rsid w:val="000F1D37"/>
    <w:rsid w:val="000F684D"/>
    <w:rsid w:val="00100AD3"/>
    <w:rsid w:val="00111156"/>
    <w:rsid w:val="00112843"/>
    <w:rsid w:val="00115CFD"/>
    <w:rsid w:val="00115DEE"/>
    <w:rsid w:val="00120F42"/>
    <w:rsid w:val="001232FB"/>
    <w:rsid w:val="00123903"/>
    <w:rsid w:val="001356B6"/>
    <w:rsid w:val="00136723"/>
    <w:rsid w:val="00140EC1"/>
    <w:rsid w:val="00142FBE"/>
    <w:rsid w:val="00145CAF"/>
    <w:rsid w:val="00152E63"/>
    <w:rsid w:val="001675DA"/>
    <w:rsid w:val="00173EF0"/>
    <w:rsid w:val="00177262"/>
    <w:rsid w:val="00191463"/>
    <w:rsid w:val="001935ED"/>
    <w:rsid w:val="001A07C8"/>
    <w:rsid w:val="001A42E3"/>
    <w:rsid w:val="001A52A5"/>
    <w:rsid w:val="001B27ED"/>
    <w:rsid w:val="001D1E6D"/>
    <w:rsid w:val="001D4228"/>
    <w:rsid w:val="001D6D0A"/>
    <w:rsid w:val="001E08D2"/>
    <w:rsid w:val="001E46AC"/>
    <w:rsid w:val="001F2012"/>
    <w:rsid w:val="001F29C7"/>
    <w:rsid w:val="0020410D"/>
    <w:rsid w:val="00205446"/>
    <w:rsid w:val="002055D9"/>
    <w:rsid w:val="00207D68"/>
    <w:rsid w:val="0022163C"/>
    <w:rsid w:val="0023053C"/>
    <w:rsid w:val="002438C0"/>
    <w:rsid w:val="0024575E"/>
    <w:rsid w:val="00250ED5"/>
    <w:rsid w:val="00272387"/>
    <w:rsid w:val="00275097"/>
    <w:rsid w:val="00275A32"/>
    <w:rsid w:val="00277F43"/>
    <w:rsid w:val="002828F2"/>
    <w:rsid w:val="0028345E"/>
    <w:rsid w:val="00285241"/>
    <w:rsid w:val="0029474D"/>
    <w:rsid w:val="00294F4B"/>
    <w:rsid w:val="002A111A"/>
    <w:rsid w:val="002A399F"/>
    <w:rsid w:val="002A75B1"/>
    <w:rsid w:val="002D1B28"/>
    <w:rsid w:val="002D5772"/>
    <w:rsid w:val="00301475"/>
    <w:rsid w:val="0030687B"/>
    <w:rsid w:val="00310F1C"/>
    <w:rsid w:val="003135E2"/>
    <w:rsid w:val="0031576D"/>
    <w:rsid w:val="00321274"/>
    <w:rsid w:val="00322240"/>
    <w:rsid w:val="003233C6"/>
    <w:rsid w:val="00327B83"/>
    <w:rsid w:val="003309CD"/>
    <w:rsid w:val="00333559"/>
    <w:rsid w:val="00337903"/>
    <w:rsid w:val="0034252D"/>
    <w:rsid w:val="003504CD"/>
    <w:rsid w:val="00353FED"/>
    <w:rsid w:val="00360E0F"/>
    <w:rsid w:val="00365C53"/>
    <w:rsid w:val="00375D29"/>
    <w:rsid w:val="00377489"/>
    <w:rsid w:val="003A258E"/>
    <w:rsid w:val="003A4986"/>
    <w:rsid w:val="003A53B1"/>
    <w:rsid w:val="003A53E4"/>
    <w:rsid w:val="003A778A"/>
    <w:rsid w:val="003A7D90"/>
    <w:rsid w:val="003B3744"/>
    <w:rsid w:val="003B7B78"/>
    <w:rsid w:val="003C4F29"/>
    <w:rsid w:val="003C51B1"/>
    <w:rsid w:val="003D002D"/>
    <w:rsid w:val="003D5D92"/>
    <w:rsid w:val="003E1CB3"/>
    <w:rsid w:val="003E438E"/>
    <w:rsid w:val="003F3FBA"/>
    <w:rsid w:val="00411759"/>
    <w:rsid w:val="0041392D"/>
    <w:rsid w:val="00415F7C"/>
    <w:rsid w:val="00422F48"/>
    <w:rsid w:val="00426E70"/>
    <w:rsid w:val="00435A1F"/>
    <w:rsid w:val="00436B03"/>
    <w:rsid w:val="004518BF"/>
    <w:rsid w:val="00454248"/>
    <w:rsid w:val="00454AC4"/>
    <w:rsid w:val="00461DFF"/>
    <w:rsid w:val="004735B4"/>
    <w:rsid w:val="00490DA3"/>
    <w:rsid w:val="00494270"/>
    <w:rsid w:val="004A0C1D"/>
    <w:rsid w:val="004A43E4"/>
    <w:rsid w:val="004A5A3F"/>
    <w:rsid w:val="004C2865"/>
    <w:rsid w:val="004C60F0"/>
    <w:rsid w:val="004D18E3"/>
    <w:rsid w:val="004D74DB"/>
    <w:rsid w:val="004E08D9"/>
    <w:rsid w:val="004F3D63"/>
    <w:rsid w:val="0050165C"/>
    <w:rsid w:val="005072F9"/>
    <w:rsid w:val="0050750E"/>
    <w:rsid w:val="0051275B"/>
    <w:rsid w:val="005300A8"/>
    <w:rsid w:val="00531377"/>
    <w:rsid w:val="00535AB8"/>
    <w:rsid w:val="00535B9C"/>
    <w:rsid w:val="005405AE"/>
    <w:rsid w:val="005440A7"/>
    <w:rsid w:val="005456BF"/>
    <w:rsid w:val="00550432"/>
    <w:rsid w:val="00554093"/>
    <w:rsid w:val="00554314"/>
    <w:rsid w:val="00565FB8"/>
    <w:rsid w:val="005725FC"/>
    <w:rsid w:val="00580B44"/>
    <w:rsid w:val="0058296F"/>
    <w:rsid w:val="0059070D"/>
    <w:rsid w:val="005943D9"/>
    <w:rsid w:val="0059741E"/>
    <w:rsid w:val="005B0F75"/>
    <w:rsid w:val="005C1500"/>
    <w:rsid w:val="005C66C2"/>
    <w:rsid w:val="005D47FB"/>
    <w:rsid w:val="005D5530"/>
    <w:rsid w:val="005E2410"/>
    <w:rsid w:val="005E2E2F"/>
    <w:rsid w:val="005E4C6F"/>
    <w:rsid w:val="005F36CD"/>
    <w:rsid w:val="006155D6"/>
    <w:rsid w:val="00620839"/>
    <w:rsid w:val="00622FC0"/>
    <w:rsid w:val="00627A66"/>
    <w:rsid w:val="006301F6"/>
    <w:rsid w:val="00633D2B"/>
    <w:rsid w:val="00637FCC"/>
    <w:rsid w:val="00647DE8"/>
    <w:rsid w:val="00661539"/>
    <w:rsid w:val="00665D93"/>
    <w:rsid w:val="006678FF"/>
    <w:rsid w:val="006704D7"/>
    <w:rsid w:val="00670F0D"/>
    <w:rsid w:val="006747BC"/>
    <w:rsid w:val="00685C94"/>
    <w:rsid w:val="0069044C"/>
    <w:rsid w:val="00692A8D"/>
    <w:rsid w:val="00694B4A"/>
    <w:rsid w:val="00696C8D"/>
    <w:rsid w:val="006A2200"/>
    <w:rsid w:val="006B62CE"/>
    <w:rsid w:val="006B63F3"/>
    <w:rsid w:val="006C6A02"/>
    <w:rsid w:val="006D44C4"/>
    <w:rsid w:val="006D6FAC"/>
    <w:rsid w:val="006E3A40"/>
    <w:rsid w:val="006E48B3"/>
    <w:rsid w:val="006E5E29"/>
    <w:rsid w:val="006E703E"/>
    <w:rsid w:val="006E7253"/>
    <w:rsid w:val="006F1C2E"/>
    <w:rsid w:val="006F61FA"/>
    <w:rsid w:val="00701A9C"/>
    <w:rsid w:val="0070478C"/>
    <w:rsid w:val="00707FF0"/>
    <w:rsid w:val="0071002D"/>
    <w:rsid w:val="00714258"/>
    <w:rsid w:val="00716B20"/>
    <w:rsid w:val="00724FC3"/>
    <w:rsid w:val="00731E43"/>
    <w:rsid w:val="00734DE1"/>
    <w:rsid w:val="0073779B"/>
    <w:rsid w:val="007402F6"/>
    <w:rsid w:val="00740616"/>
    <w:rsid w:val="00744850"/>
    <w:rsid w:val="00755BAD"/>
    <w:rsid w:val="007614AF"/>
    <w:rsid w:val="007645C8"/>
    <w:rsid w:val="00777653"/>
    <w:rsid w:val="00781773"/>
    <w:rsid w:val="00785B90"/>
    <w:rsid w:val="00792AD3"/>
    <w:rsid w:val="00796DA4"/>
    <w:rsid w:val="007A0C40"/>
    <w:rsid w:val="007A1049"/>
    <w:rsid w:val="007A2995"/>
    <w:rsid w:val="007A31CC"/>
    <w:rsid w:val="007A7E3C"/>
    <w:rsid w:val="007B7097"/>
    <w:rsid w:val="007C33CF"/>
    <w:rsid w:val="007C36D8"/>
    <w:rsid w:val="007C698D"/>
    <w:rsid w:val="007C7165"/>
    <w:rsid w:val="007C7F57"/>
    <w:rsid w:val="007D2AC8"/>
    <w:rsid w:val="007D7443"/>
    <w:rsid w:val="007D7FD9"/>
    <w:rsid w:val="007F1075"/>
    <w:rsid w:val="007F18B6"/>
    <w:rsid w:val="0080499D"/>
    <w:rsid w:val="00804FE8"/>
    <w:rsid w:val="008112D1"/>
    <w:rsid w:val="00816D03"/>
    <w:rsid w:val="00820162"/>
    <w:rsid w:val="00826D62"/>
    <w:rsid w:val="00827937"/>
    <w:rsid w:val="00831F60"/>
    <w:rsid w:val="00835DE2"/>
    <w:rsid w:val="008464FB"/>
    <w:rsid w:val="0085293C"/>
    <w:rsid w:val="00855F9A"/>
    <w:rsid w:val="0087267B"/>
    <w:rsid w:val="0089696E"/>
    <w:rsid w:val="00896E9F"/>
    <w:rsid w:val="008A205B"/>
    <w:rsid w:val="008A3911"/>
    <w:rsid w:val="008A6487"/>
    <w:rsid w:val="008B020B"/>
    <w:rsid w:val="008B6471"/>
    <w:rsid w:val="008B6ABF"/>
    <w:rsid w:val="008B72E4"/>
    <w:rsid w:val="008C782D"/>
    <w:rsid w:val="008D1FD3"/>
    <w:rsid w:val="008E377A"/>
    <w:rsid w:val="008E4ACD"/>
    <w:rsid w:val="008F0EC5"/>
    <w:rsid w:val="008F24E2"/>
    <w:rsid w:val="008F5244"/>
    <w:rsid w:val="008F64AC"/>
    <w:rsid w:val="008F6915"/>
    <w:rsid w:val="00905F2A"/>
    <w:rsid w:val="00905F71"/>
    <w:rsid w:val="00911B6B"/>
    <w:rsid w:val="00921D97"/>
    <w:rsid w:val="00923D6F"/>
    <w:rsid w:val="00933129"/>
    <w:rsid w:val="00935FA3"/>
    <w:rsid w:val="00946E5B"/>
    <w:rsid w:val="0095030C"/>
    <w:rsid w:val="009520F8"/>
    <w:rsid w:val="009636FD"/>
    <w:rsid w:val="00975549"/>
    <w:rsid w:val="00983986"/>
    <w:rsid w:val="00984D1D"/>
    <w:rsid w:val="00986BAD"/>
    <w:rsid w:val="00987341"/>
    <w:rsid w:val="0099111A"/>
    <w:rsid w:val="00993F26"/>
    <w:rsid w:val="009A602C"/>
    <w:rsid w:val="009A73F0"/>
    <w:rsid w:val="009B0AEB"/>
    <w:rsid w:val="009B14F2"/>
    <w:rsid w:val="009E0293"/>
    <w:rsid w:val="009E0B44"/>
    <w:rsid w:val="009E683B"/>
    <w:rsid w:val="009F092A"/>
    <w:rsid w:val="009F1BE1"/>
    <w:rsid w:val="00A000F8"/>
    <w:rsid w:val="00A00966"/>
    <w:rsid w:val="00A02511"/>
    <w:rsid w:val="00A1046B"/>
    <w:rsid w:val="00A22C73"/>
    <w:rsid w:val="00A324F6"/>
    <w:rsid w:val="00A32975"/>
    <w:rsid w:val="00A33C11"/>
    <w:rsid w:val="00A43BC9"/>
    <w:rsid w:val="00A56C68"/>
    <w:rsid w:val="00A60148"/>
    <w:rsid w:val="00A62DB0"/>
    <w:rsid w:val="00A6791B"/>
    <w:rsid w:val="00A71679"/>
    <w:rsid w:val="00A7369F"/>
    <w:rsid w:val="00A7493C"/>
    <w:rsid w:val="00A75383"/>
    <w:rsid w:val="00A75929"/>
    <w:rsid w:val="00A75C03"/>
    <w:rsid w:val="00A76625"/>
    <w:rsid w:val="00A80828"/>
    <w:rsid w:val="00A81391"/>
    <w:rsid w:val="00A828B0"/>
    <w:rsid w:val="00A97F91"/>
    <w:rsid w:val="00AB1BC7"/>
    <w:rsid w:val="00AB2CB2"/>
    <w:rsid w:val="00AC420F"/>
    <w:rsid w:val="00AC6B4A"/>
    <w:rsid w:val="00AC7B7B"/>
    <w:rsid w:val="00AD6F3A"/>
    <w:rsid w:val="00AE0E9C"/>
    <w:rsid w:val="00AE291E"/>
    <w:rsid w:val="00AF2370"/>
    <w:rsid w:val="00B01117"/>
    <w:rsid w:val="00B07E95"/>
    <w:rsid w:val="00B24137"/>
    <w:rsid w:val="00B332F6"/>
    <w:rsid w:val="00B3734E"/>
    <w:rsid w:val="00B446F1"/>
    <w:rsid w:val="00B47893"/>
    <w:rsid w:val="00B5485B"/>
    <w:rsid w:val="00B60A6A"/>
    <w:rsid w:val="00B60F73"/>
    <w:rsid w:val="00B64E19"/>
    <w:rsid w:val="00B7208A"/>
    <w:rsid w:val="00B81FEC"/>
    <w:rsid w:val="00B9266F"/>
    <w:rsid w:val="00B931E5"/>
    <w:rsid w:val="00B954D2"/>
    <w:rsid w:val="00BB49E8"/>
    <w:rsid w:val="00BB5EE9"/>
    <w:rsid w:val="00BB7516"/>
    <w:rsid w:val="00BC70B6"/>
    <w:rsid w:val="00BD0C3D"/>
    <w:rsid w:val="00BD4F11"/>
    <w:rsid w:val="00BE19AE"/>
    <w:rsid w:val="00BE1A3D"/>
    <w:rsid w:val="00BE7EA8"/>
    <w:rsid w:val="00BF2A80"/>
    <w:rsid w:val="00C01166"/>
    <w:rsid w:val="00C01A13"/>
    <w:rsid w:val="00C0504C"/>
    <w:rsid w:val="00C15268"/>
    <w:rsid w:val="00C15B80"/>
    <w:rsid w:val="00C24A2F"/>
    <w:rsid w:val="00C37333"/>
    <w:rsid w:val="00C406BF"/>
    <w:rsid w:val="00C51D66"/>
    <w:rsid w:val="00C53017"/>
    <w:rsid w:val="00C558F1"/>
    <w:rsid w:val="00C55BCA"/>
    <w:rsid w:val="00C60675"/>
    <w:rsid w:val="00C62856"/>
    <w:rsid w:val="00C62AAD"/>
    <w:rsid w:val="00C65CEB"/>
    <w:rsid w:val="00C66EE6"/>
    <w:rsid w:val="00C76EB4"/>
    <w:rsid w:val="00C91B48"/>
    <w:rsid w:val="00CA000A"/>
    <w:rsid w:val="00CA0B04"/>
    <w:rsid w:val="00CA5E00"/>
    <w:rsid w:val="00CA70C7"/>
    <w:rsid w:val="00CB72C0"/>
    <w:rsid w:val="00CD114A"/>
    <w:rsid w:val="00CE3CD1"/>
    <w:rsid w:val="00CE61D5"/>
    <w:rsid w:val="00CF0101"/>
    <w:rsid w:val="00CF1449"/>
    <w:rsid w:val="00CF568C"/>
    <w:rsid w:val="00CF711E"/>
    <w:rsid w:val="00D06564"/>
    <w:rsid w:val="00D11310"/>
    <w:rsid w:val="00D1387C"/>
    <w:rsid w:val="00D1786E"/>
    <w:rsid w:val="00D21740"/>
    <w:rsid w:val="00D22AEA"/>
    <w:rsid w:val="00D36737"/>
    <w:rsid w:val="00D376EC"/>
    <w:rsid w:val="00D40B52"/>
    <w:rsid w:val="00D549C2"/>
    <w:rsid w:val="00D81141"/>
    <w:rsid w:val="00D83D42"/>
    <w:rsid w:val="00D85072"/>
    <w:rsid w:val="00D87021"/>
    <w:rsid w:val="00D90D88"/>
    <w:rsid w:val="00D9246D"/>
    <w:rsid w:val="00D95907"/>
    <w:rsid w:val="00D97355"/>
    <w:rsid w:val="00D9750C"/>
    <w:rsid w:val="00DA102D"/>
    <w:rsid w:val="00DA2456"/>
    <w:rsid w:val="00DA6D1A"/>
    <w:rsid w:val="00DB2A64"/>
    <w:rsid w:val="00DB6D9C"/>
    <w:rsid w:val="00DC02F2"/>
    <w:rsid w:val="00DC2ACF"/>
    <w:rsid w:val="00DC3B72"/>
    <w:rsid w:val="00DD2590"/>
    <w:rsid w:val="00DD2B36"/>
    <w:rsid w:val="00DD3E1B"/>
    <w:rsid w:val="00DD4593"/>
    <w:rsid w:val="00DF3C6C"/>
    <w:rsid w:val="00DF750E"/>
    <w:rsid w:val="00E0041F"/>
    <w:rsid w:val="00E05741"/>
    <w:rsid w:val="00E1022C"/>
    <w:rsid w:val="00E10F2D"/>
    <w:rsid w:val="00E13DB4"/>
    <w:rsid w:val="00E15C87"/>
    <w:rsid w:val="00E17F56"/>
    <w:rsid w:val="00E24103"/>
    <w:rsid w:val="00E34F28"/>
    <w:rsid w:val="00E43A2E"/>
    <w:rsid w:val="00E44863"/>
    <w:rsid w:val="00E44959"/>
    <w:rsid w:val="00E45018"/>
    <w:rsid w:val="00E52802"/>
    <w:rsid w:val="00E539A8"/>
    <w:rsid w:val="00E540D8"/>
    <w:rsid w:val="00E540F6"/>
    <w:rsid w:val="00E568C0"/>
    <w:rsid w:val="00E6431F"/>
    <w:rsid w:val="00E71160"/>
    <w:rsid w:val="00E753DD"/>
    <w:rsid w:val="00E75BD9"/>
    <w:rsid w:val="00E84A72"/>
    <w:rsid w:val="00E84DB2"/>
    <w:rsid w:val="00E861E2"/>
    <w:rsid w:val="00E9360D"/>
    <w:rsid w:val="00E95ED0"/>
    <w:rsid w:val="00EA0E93"/>
    <w:rsid w:val="00EA2D29"/>
    <w:rsid w:val="00EC43AC"/>
    <w:rsid w:val="00ED6A9A"/>
    <w:rsid w:val="00ED7B97"/>
    <w:rsid w:val="00EE20CB"/>
    <w:rsid w:val="00EE2C62"/>
    <w:rsid w:val="00EE7A2C"/>
    <w:rsid w:val="00EF73F3"/>
    <w:rsid w:val="00F0255A"/>
    <w:rsid w:val="00F0305B"/>
    <w:rsid w:val="00F04A0D"/>
    <w:rsid w:val="00F053C9"/>
    <w:rsid w:val="00F07AF2"/>
    <w:rsid w:val="00F1487D"/>
    <w:rsid w:val="00F22DBF"/>
    <w:rsid w:val="00F23714"/>
    <w:rsid w:val="00F25186"/>
    <w:rsid w:val="00F271A5"/>
    <w:rsid w:val="00F310B2"/>
    <w:rsid w:val="00F3611A"/>
    <w:rsid w:val="00F43BF5"/>
    <w:rsid w:val="00F508BE"/>
    <w:rsid w:val="00F6058D"/>
    <w:rsid w:val="00F6239A"/>
    <w:rsid w:val="00F722C9"/>
    <w:rsid w:val="00F77C06"/>
    <w:rsid w:val="00F923A5"/>
    <w:rsid w:val="00FA5813"/>
    <w:rsid w:val="00FB0B2E"/>
    <w:rsid w:val="00FB6BC7"/>
    <w:rsid w:val="00FB6E86"/>
    <w:rsid w:val="00FC60DC"/>
    <w:rsid w:val="00FC7E80"/>
    <w:rsid w:val="00FD17A2"/>
    <w:rsid w:val="00FD1E97"/>
    <w:rsid w:val="00FE1E8D"/>
    <w:rsid w:val="00FF0E03"/>
    <w:rsid w:val="00FF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14:docId w14:val="727CD4BE"/>
  <w15:docId w15:val="{031C5B44-2474-4989-9734-86767E43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539"/>
    <w:pPr>
      <w:spacing w:after="0" w:line="240" w:lineRule="auto"/>
      <w:jc w:val="both"/>
    </w:pPr>
    <w:rPr>
      <w:rFonts w:ascii="Arial" w:hAnsi="Arial" w:cs="Times New Roman"/>
      <w:sz w:val="24"/>
      <w:szCs w:val="20"/>
    </w:rPr>
  </w:style>
  <w:style w:type="paragraph" w:styleId="Heading1">
    <w:name w:val="heading 1"/>
    <w:basedOn w:val="Normal"/>
    <w:next w:val="Normal"/>
    <w:link w:val="Heading1Char"/>
    <w:uiPriority w:val="9"/>
    <w:qFormat/>
    <w:rsid w:val="004C2865"/>
    <w:pPr>
      <w:numPr>
        <w:numId w:val="21"/>
      </w:numPr>
      <w:outlineLvl w:val="0"/>
    </w:pPr>
    <w:rPr>
      <w:rFonts w:eastAsiaTheme="majorEastAsia" w:cstheme="majorBidi"/>
      <w:b/>
      <w:bCs/>
      <w:szCs w:val="28"/>
      <w:lang w:bidi="en-US"/>
    </w:rPr>
  </w:style>
  <w:style w:type="paragraph" w:styleId="Heading2">
    <w:name w:val="heading 2"/>
    <w:basedOn w:val="Normal"/>
    <w:next w:val="Normal"/>
    <w:link w:val="Heading2Char"/>
    <w:uiPriority w:val="9"/>
    <w:unhideWhenUsed/>
    <w:qFormat/>
    <w:rsid w:val="005C1500"/>
    <w:pPr>
      <w:numPr>
        <w:ilvl w:val="1"/>
        <w:numId w:val="21"/>
      </w:numPr>
      <w:outlineLvl w:val="1"/>
    </w:pPr>
    <w:rPr>
      <w:rFonts w:eastAsiaTheme="majorEastAsia" w:cstheme="majorBidi"/>
      <w:b/>
      <w:bCs/>
      <w:szCs w:val="26"/>
      <w:lang w:bidi="en-US"/>
    </w:rPr>
  </w:style>
  <w:style w:type="paragraph" w:styleId="Heading3">
    <w:name w:val="heading 3"/>
    <w:basedOn w:val="Normal"/>
    <w:next w:val="Normal"/>
    <w:link w:val="Heading3Char"/>
    <w:uiPriority w:val="9"/>
    <w:unhideWhenUsed/>
    <w:qFormat/>
    <w:rsid w:val="00622FC0"/>
    <w:pPr>
      <w:numPr>
        <w:ilvl w:val="2"/>
        <w:numId w:val="21"/>
      </w:numPr>
      <w:outlineLvl w:val="2"/>
    </w:pPr>
    <w:rPr>
      <w:rFonts w:eastAsiaTheme="majorEastAsia" w:cstheme="majorBidi"/>
      <w:bCs/>
      <w:szCs w:val="22"/>
      <w:lang w:bidi="en-US"/>
    </w:rPr>
  </w:style>
  <w:style w:type="paragraph" w:styleId="Heading4">
    <w:name w:val="heading 4"/>
    <w:basedOn w:val="Normal"/>
    <w:next w:val="Normal"/>
    <w:link w:val="Heading4Char"/>
    <w:uiPriority w:val="9"/>
    <w:qFormat/>
    <w:rsid w:val="00EF73F3"/>
    <w:pPr>
      <w:numPr>
        <w:ilvl w:val="3"/>
        <w:numId w:val="21"/>
      </w:numPr>
      <w:outlineLvl w:val="3"/>
    </w:pPr>
    <w:rPr>
      <w:rFonts w:eastAsiaTheme="majorEastAsia" w:cstheme="majorBidi"/>
      <w:bCs/>
      <w:i/>
      <w:iCs/>
      <w:szCs w:val="22"/>
      <w:lang w:bidi="en-US"/>
    </w:rPr>
  </w:style>
  <w:style w:type="paragraph" w:styleId="Heading5">
    <w:name w:val="heading 5"/>
    <w:basedOn w:val="Normal"/>
    <w:next w:val="Normal"/>
    <w:link w:val="Heading5Char"/>
    <w:uiPriority w:val="9"/>
    <w:semiHidden/>
    <w:unhideWhenUsed/>
    <w:qFormat/>
    <w:rsid w:val="00415F7C"/>
    <w:pPr>
      <w:numPr>
        <w:ilvl w:val="4"/>
        <w:numId w:val="21"/>
      </w:numPr>
      <w:spacing w:before="200"/>
      <w:outlineLvl w:val="4"/>
    </w:pPr>
    <w:rPr>
      <w:rFonts w:eastAsiaTheme="majorEastAsia" w:cstheme="majorBidi"/>
      <w:b/>
      <w:bCs/>
      <w:szCs w:val="22"/>
      <w:lang w:bidi="en-US"/>
    </w:rPr>
  </w:style>
  <w:style w:type="paragraph" w:styleId="Heading6">
    <w:name w:val="heading 6"/>
    <w:basedOn w:val="Normal"/>
    <w:next w:val="Normal"/>
    <w:link w:val="Heading6Char"/>
    <w:uiPriority w:val="9"/>
    <w:semiHidden/>
    <w:unhideWhenUsed/>
    <w:qFormat/>
    <w:rsid w:val="00EF73F3"/>
    <w:pPr>
      <w:numPr>
        <w:ilvl w:val="5"/>
        <w:numId w:val="21"/>
      </w:num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
    <w:semiHidden/>
    <w:unhideWhenUsed/>
    <w:qFormat/>
    <w:rsid w:val="00EF73F3"/>
    <w:pPr>
      <w:numPr>
        <w:ilvl w:val="6"/>
        <w:numId w:val="21"/>
      </w:num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semiHidden/>
    <w:unhideWhenUsed/>
    <w:qFormat/>
    <w:rsid w:val="00EF73F3"/>
    <w:pPr>
      <w:numPr>
        <w:ilvl w:val="7"/>
        <w:numId w:val="21"/>
      </w:numPr>
      <w:outlineLvl w:val="7"/>
    </w:pPr>
    <w:rPr>
      <w:rFonts w:asciiTheme="majorHAnsi" w:eastAsiaTheme="majorEastAsia" w:hAnsiTheme="majorHAnsi" w:cstheme="majorBidi"/>
      <w:sz w:val="20"/>
      <w:lang w:bidi="en-US"/>
    </w:rPr>
  </w:style>
  <w:style w:type="paragraph" w:styleId="Heading9">
    <w:name w:val="heading 9"/>
    <w:basedOn w:val="Normal"/>
    <w:next w:val="Normal"/>
    <w:link w:val="Heading9Char"/>
    <w:uiPriority w:val="9"/>
    <w:semiHidden/>
    <w:unhideWhenUsed/>
    <w:qFormat/>
    <w:rsid w:val="00EF73F3"/>
    <w:pPr>
      <w:numPr>
        <w:ilvl w:val="8"/>
        <w:numId w:val="21"/>
      </w:numPr>
      <w:outlineLvl w:val="8"/>
    </w:pPr>
    <w:rPr>
      <w:rFonts w:asciiTheme="majorHAnsi" w:eastAsiaTheme="majorEastAsia" w:hAnsiTheme="majorHAnsi" w:cstheme="majorBidi"/>
      <w:i/>
      <w:iCs/>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865"/>
    <w:rPr>
      <w:rFonts w:ascii="Arial" w:eastAsiaTheme="majorEastAsia" w:hAnsi="Arial" w:cstheme="majorBidi"/>
      <w:b/>
      <w:bCs/>
      <w:sz w:val="24"/>
      <w:szCs w:val="28"/>
      <w:lang w:bidi="en-US"/>
    </w:rPr>
  </w:style>
  <w:style w:type="character" w:customStyle="1" w:styleId="Heading2Char">
    <w:name w:val="Heading 2 Char"/>
    <w:basedOn w:val="DefaultParagraphFont"/>
    <w:link w:val="Heading2"/>
    <w:uiPriority w:val="9"/>
    <w:rsid w:val="005C1500"/>
    <w:rPr>
      <w:rFonts w:ascii="Arial" w:eastAsiaTheme="majorEastAsia" w:hAnsi="Arial" w:cstheme="majorBidi"/>
      <w:b/>
      <w:bCs/>
      <w:sz w:val="24"/>
      <w:szCs w:val="26"/>
      <w:lang w:bidi="en-US"/>
    </w:rPr>
  </w:style>
  <w:style w:type="paragraph" w:styleId="Title">
    <w:name w:val="Title"/>
    <w:basedOn w:val="Normal"/>
    <w:next w:val="Normal"/>
    <w:link w:val="TitleChar"/>
    <w:uiPriority w:val="10"/>
    <w:qFormat/>
    <w:rsid w:val="00EF73F3"/>
    <w:pPr>
      <w:jc w:val="center"/>
    </w:pPr>
    <w:rPr>
      <w:rFonts w:eastAsiaTheme="majorEastAsia" w:cstheme="majorBidi"/>
      <w:b/>
      <w:spacing w:val="5"/>
      <w:sz w:val="32"/>
      <w:szCs w:val="52"/>
    </w:rPr>
  </w:style>
  <w:style w:type="character" w:customStyle="1" w:styleId="TitleChar">
    <w:name w:val="Title Char"/>
    <w:basedOn w:val="DefaultParagraphFont"/>
    <w:link w:val="Title"/>
    <w:uiPriority w:val="10"/>
    <w:rsid w:val="00EF73F3"/>
    <w:rPr>
      <w:rFonts w:ascii="Arial" w:eastAsiaTheme="majorEastAsia" w:hAnsi="Arial" w:cstheme="majorBidi"/>
      <w:b/>
      <w:spacing w:val="5"/>
      <w:sz w:val="32"/>
      <w:szCs w:val="52"/>
    </w:rPr>
  </w:style>
  <w:style w:type="paragraph" w:styleId="Quote">
    <w:name w:val="Quote"/>
    <w:basedOn w:val="Normal"/>
    <w:next w:val="Normal"/>
    <w:link w:val="QuoteChar"/>
    <w:uiPriority w:val="29"/>
    <w:qFormat/>
    <w:rsid w:val="00EF73F3"/>
    <w:pPr>
      <w:ind w:left="680"/>
    </w:pPr>
    <w:rPr>
      <w:rFonts w:eastAsiaTheme="minorEastAsia" w:cstheme="minorBidi"/>
      <w:iCs/>
      <w:szCs w:val="22"/>
      <w:lang w:bidi="en-US"/>
    </w:rPr>
  </w:style>
  <w:style w:type="character" w:customStyle="1" w:styleId="QuoteChar">
    <w:name w:val="Quote Char"/>
    <w:basedOn w:val="DefaultParagraphFont"/>
    <w:link w:val="Quote"/>
    <w:uiPriority w:val="29"/>
    <w:rsid w:val="00EF73F3"/>
    <w:rPr>
      <w:rFonts w:ascii="Arial" w:eastAsiaTheme="minorEastAsia" w:hAnsi="Arial"/>
      <w:iCs/>
      <w:sz w:val="24"/>
      <w:lang w:bidi="en-US"/>
    </w:rPr>
  </w:style>
  <w:style w:type="paragraph" w:styleId="ListParagraph">
    <w:name w:val="List Paragraph"/>
    <w:basedOn w:val="Normal"/>
    <w:link w:val="ListParagraphChar"/>
    <w:uiPriority w:val="34"/>
    <w:rsid w:val="005D5530"/>
    <w:pPr>
      <w:ind w:left="720"/>
      <w:contextualSpacing/>
    </w:pPr>
    <w:rPr>
      <w:lang w:eastAsia="en-GB"/>
    </w:rPr>
  </w:style>
  <w:style w:type="paragraph" w:customStyle="1" w:styleId="inset">
    <w:name w:val="inset"/>
    <w:basedOn w:val="Normal"/>
    <w:link w:val="insetChar"/>
    <w:qFormat/>
    <w:rsid w:val="00EF73F3"/>
    <w:pPr>
      <w:ind w:left="709"/>
    </w:pPr>
  </w:style>
  <w:style w:type="character" w:customStyle="1" w:styleId="insetChar">
    <w:name w:val="inset Char"/>
    <w:basedOn w:val="DefaultParagraphFont"/>
    <w:link w:val="inset"/>
    <w:rsid w:val="00EF73F3"/>
    <w:rPr>
      <w:rFonts w:ascii="Arial" w:hAnsi="Arial" w:cs="Times New Roman"/>
      <w:sz w:val="24"/>
      <w:szCs w:val="24"/>
      <w:lang w:eastAsia="en-GB"/>
    </w:rPr>
  </w:style>
  <w:style w:type="character" w:styleId="FootnoteReference">
    <w:name w:val="footnote reference"/>
    <w:aliases w:val="Fn Ref,Footnote Refernece"/>
    <w:basedOn w:val="DefaultParagraphFont"/>
    <w:uiPriority w:val="99"/>
    <w:qFormat/>
    <w:rsid w:val="00E540D8"/>
    <w:rPr>
      <w:rFonts w:ascii="Arial" w:hAnsi="Arial"/>
      <w:sz w:val="20"/>
      <w:vertAlign w:val="superscript"/>
    </w:rPr>
  </w:style>
  <w:style w:type="paragraph" w:customStyle="1" w:styleId="fntxt">
    <w:name w:val="fn txt"/>
    <w:basedOn w:val="FootnoteText"/>
    <w:qFormat/>
    <w:rsid w:val="00EF73F3"/>
    <w:rPr>
      <w:rFonts w:eastAsiaTheme="minorHAnsi"/>
      <w:color w:val="000000"/>
      <w:szCs w:val="24"/>
    </w:rPr>
  </w:style>
  <w:style w:type="paragraph" w:styleId="FootnoteText">
    <w:name w:val="footnote text"/>
    <w:basedOn w:val="Normal"/>
    <w:link w:val="FootnoteTextChar"/>
    <w:uiPriority w:val="99"/>
    <w:unhideWhenUsed/>
    <w:rsid w:val="00EF73F3"/>
    <w:rPr>
      <w:sz w:val="20"/>
    </w:rPr>
  </w:style>
  <w:style w:type="character" w:customStyle="1" w:styleId="FootnoteTextChar">
    <w:name w:val="Footnote Text Char"/>
    <w:basedOn w:val="DefaultParagraphFont"/>
    <w:link w:val="FootnoteText"/>
    <w:uiPriority w:val="99"/>
    <w:rsid w:val="00EF73F3"/>
    <w:rPr>
      <w:rFonts w:ascii="Arial" w:hAnsi="Arial" w:cs="Times New Roman"/>
      <w:sz w:val="20"/>
      <w:szCs w:val="20"/>
    </w:rPr>
  </w:style>
  <w:style w:type="paragraph" w:customStyle="1" w:styleId="case">
    <w:name w:val="case"/>
    <w:basedOn w:val="Normal"/>
    <w:link w:val="caseChar"/>
    <w:qFormat/>
    <w:rsid w:val="00EF73F3"/>
    <w:rPr>
      <w:i/>
    </w:rPr>
  </w:style>
  <w:style w:type="character" w:customStyle="1" w:styleId="caseChar">
    <w:name w:val="case Char"/>
    <w:basedOn w:val="DefaultParagraphFont"/>
    <w:link w:val="case"/>
    <w:rsid w:val="00EF73F3"/>
    <w:rPr>
      <w:rFonts w:ascii="Arial" w:hAnsi="Arial" w:cs="Times New Roman"/>
      <w:i/>
      <w:sz w:val="24"/>
      <w:szCs w:val="24"/>
      <w:lang w:eastAsia="en-GB"/>
    </w:rPr>
  </w:style>
  <w:style w:type="character" w:customStyle="1" w:styleId="Heading3Char">
    <w:name w:val="Heading 3 Char"/>
    <w:basedOn w:val="DefaultParagraphFont"/>
    <w:link w:val="Heading3"/>
    <w:uiPriority w:val="9"/>
    <w:rsid w:val="00935FA3"/>
    <w:rPr>
      <w:rFonts w:ascii="Arial" w:eastAsiaTheme="majorEastAsia" w:hAnsi="Arial" w:cstheme="majorBidi"/>
      <w:bCs/>
      <w:sz w:val="24"/>
      <w:lang w:bidi="en-US"/>
    </w:rPr>
  </w:style>
  <w:style w:type="character" w:customStyle="1" w:styleId="Heading4Char">
    <w:name w:val="Heading 4 Char"/>
    <w:basedOn w:val="DefaultParagraphFont"/>
    <w:link w:val="Heading4"/>
    <w:uiPriority w:val="9"/>
    <w:rsid w:val="00EF73F3"/>
    <w:rPr>
      <w:rFonts w:ascii="Arial" w:eastAsiaTheme="majorEastAsia" w:hAnsi="Arial" w:cstheme="majorBidi"/>
      <w:bCs/>
      <w:i/>
      <w:iCs/>
      <w:sz w:val="24"/>
      <w:lang w:bidi="en-US"/>
    </w:rPr>
  </w:style>
  <w:style w:type="character" w:customStyle="1" w:styleId="Heading5Char">
    <w:name w:val="Heading 5 Char"/>
    <w:basedOn w:val="DefaultParagraphFont"/>
    <w:link w:val="Heading5"/>
    <w:uiPriority w:val="9"/>
    <w:semiHidden/>
    <w:rsid w:val="00415F7C"/>
    <w:rPr>
      <w:rFonts w:ascii="Arial" w:eastAsiaTheme="majorEastAsia" w:hAnsi="Arial" w:cstheme="majorBidi"/>
      <w:b/>
      <w:bCs/>
      <w:sz w:val="24"/>
      <w:lang w:bidi="en-US"/>
    </w:rPr>
  </w:style>
  <w:style w:type="character" w:customStyle="1" w:styleId="Heading6Char">
    <w:name w:val="Heading 6 Char"/>
    <w:basedOn w:val="DefaultParagraphFont"/>
    <w:link w:val="Heading6"/>
    <w:uiPriority w:val="9"/>
    <w:semiHidden/>
    <w:rsid w:val="00EF73F3"/>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EF73F3"/>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EF73F3"/>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EF73F3"/>
    <w:rPr>
      <w:rFonts w:asciiTheme="majorHAnsi" w:eastAsiaTheme="majorEastAsia" w:hAnsiTheme="majorHAnsi" w:cstheme="majorBidi"/>
      <w:i/>
      <w:iCs/>
      <w:spacing w:val="5"/>
      <w:sz w:val="20"/>
      <w:szCs w:val="20"/>
      <w:lang w:bidi="en-US"/>
    </w:rPr>
  </w:style>
  <w:style w:type="paragraph" w:styleId="Subtitle">
    <w:name w:val="Subtitle"/>
    <w:basedOn w:val="Normal"/>
    <w:next w:val="Normal"/>
    <w:link w:val="SubtitleChar"/>
    <w:uiPriority w:val="11"/>
    <w:rsid w:val="00EF73F3"/>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EF73F3"/>
    <w:rPr>
      <w:rFonts w:asciiTheme="majorHAnsi" w:eastAsiaTheme="majorEastAsia" w:hAnsiTheme="majorHAnsi" w:cstheme="majorBidi"/>
      <w:i/>
      <w:iCs/>
      <w:spacing w:val="13"/>
      <w:sz w:val="24"/>
      <w:szCs w:val="24"/>
      <w:lang w:bidi="en-US"/>
    </w:rPr>
  </w:style>
  <w:style w:type="paragraph" w:styleId="TOCHeading">
    <w:name w:val="TOC Heading"/>
    <w:basedOn w:val="Heading1"/>
    <w:next w:val="Normal"/>
    <w:uiPriority w:val="39"/>
    <w:semiHidden/>
    <w:unhideWhenUsed/>
    <w:qFormat/>
    <w:rsid w:val="00EF73F3"/>
    <w:pPr>
      <w:outlineLvl w:val="9"/>
    </w:pPr>
    <w:rPr>
      <w:lang w:eastAsia="en-GB" w:bidi="ar-SA"/>
    </w:rPr>
  </w:style>
  <w:style w:type="paragraph" w:customStyle="1" w:styleId="fncase">
    <w:name w:val="fn case"/>
    <w:basedOn w:val="Normal"/>
    <w:link w:val="fncaseChar"/>
    <w:qFormat/>
    <w:rsid w:val="000F06D8"/>
    <w:pPr>
      <w:shd w:val="clear" w:color="auto" w:fill="FFFFFF"/>
      <w:spacing w:before="100" w:beforeAutospacing="1" w:after="100" w:afterAutospacing="1"/>
      <w:textAlignment w:val="top"/>
    </w:pPr>
    <w:rPr>
      <w:rFonts w:cstheme="minorBidi"/>
      <w:i/>
      <w:sz w:val="20"/>
    </w:rPr>
  </w:style>
  <w:style w:type="character" w:customStyle="1" w:styleId="fncaseChar">
    <w:name w:val="fn case Char"/>
    <w:basedOn w:val="DefaultParagraphFont"/>
    <w:link w:val="fncase"/>
    <w:rsid w:val="000F06D8"/>
    <w:rPr>
      <w:rFonts w:ascii="Arial" w:hAnsi="Arial"/>
      <w:i/>
      <w:sz w:val="20"/>
      <w:szCs w:val="24"/>
      <w:shd w:val="clear" w:color="auto" w:fill="FFFFFF"/>
      <w:lang w:val="en-US"/>
    </w:rPr>
  </w:style>
  <w:style w:type="paragraph" w:styleId="TOC1">
    <w:name w:val="toc 1"/>
    <w:basedOn w:val="Normal"/>
    <w:next w:val="Normal"/>
    <w:uiPriority w:val="39"/>
    <w:unhideWhenUsed/>
    <w:rsid w:val="00A75929"/>
    <w:pPr>
      <w:tabs>
        <w:tab w:val="right" w:leader="dot" w:pos="9072"/>
      </w:tabs>
      <w:ind w:left="567" w:hanging="567"/>
    </w:pPr>
    <w:rPr>
      <w:rFonts w:cstheme="minorBidi"/>
    </w:rPr>
  </w:style>
  <w:style w:type="paragraph" w:styleId="TOC2">
    <w:name w:val="toc 2"/>
    <w:basedOn w:val="Normal"/>
    <w:next w:val="Normal"/>
    <w:uiPriority w:val="39"/>
    <w:unhideWhenUsed/>
    <w:rsid w:val="00A75929"/>
    <w:pPr>
      <w:tabs>
        <w:tab w:val="right" w:leader="dot" w:pos="9072"/>
      </w:tabs>
      <w:ind w:left="1134" w:hanging="567"/>
    </w:pPr>
    <w:rPr>
      <w:rFonts w:cstheme="minorBidi"/>
    </w:rPr>
  </w:style>
  <w:style w:type="paragraph" w:styleId="TOC3">
    <w:name w:val="toc 3"/>
    <w:basedOn w:val="Normal"/>
    <w:next w:val="Normal"/>
    <w:uiPriority w:val="39"/>
    <w:unhideWhenUsed/>
    <w:rsid w:val="006747BC"/>
    <w:pPr>
      <w:tabs>
        <w:tab w:val="right" w:leader="dot" w:pos="9072"/>
      </w:tabs>
      <w:ind w:left="1985" w:hanging="851"/>
    </w:pPr>
    <w:rPr>
      <w:rFonts w:cstheme="minorBidi"/>
    </w:rPr>
  </w:style>
  <w:style w:type="character" w:styleId="Hyperlink">
    <w:name w:val="Hyperlink"/>
    <w:basedOn w:val="DefaultParagraphFont"/>
    <w:uiPriority w:val="99"/>
    <w:unhideWhenUsed/>
    <w:rsid w:val="004518BF"/>
    <w:rPr>
      <w:rFonts w:ascii="Arial" w:hAnsi="Arial" w:cs="Times New Roman" w:hint="default"/>
      <w:color w:val="0000FF"/>
      <w:u w:val="single"/>
    </w:rPr>
  </w:style>
  <w:style w:type="paragraph" w:styleId="PlainText">
    <w:name w:val="Plain Text"/>
    <w:basedOn w:val="Normal"/>
    <w:link w:val="PlainTextChar"/>
    <w:uiPriority w:val="99"/>
    <w:unhideWhenUsed/>
    <w:rsid w:val="00D46CBD"/>
    <w:rPr>
      <w:rFonts w:ascii="Consolas" w:hAnsi="Consolas" w:cs="Consolas"/>
      <w:sz w:val="21"/>
      <w:szCs w:val="21"/>
    </w:rPr>
  </w:style>
  <w:style w:type="character" w:customStyle="1" w:styleId="PlainTextChar">
    <w:name w:val="Plain Text Char"/>
    <w:basedOn w:val="DefaultParagraphFont"/>
    <w:link w:val="PlainText"/>
    <w:uiPriority w:val="99"/>
    <w:rsid w:val="00D46CBD"/>
    <w:rPr>
      <w:rFonts w:ascii="Consolas" w:hAnsi="Consolas" w:cs="Consolas"/>
      <w:sz w:val="21"/>
      <w:szCs w:val="21"/>
    </w:rPr>
  </w:style>
  <w:style w:type="paragraph" w:styleId="Header">
    <w:name w:val="header"/>
    <w:basedOn w:val="Normal"/>
    <w:link w:val="HeaderChar"/>
    <w:uiPriority w:val="99"/>
    <w:unhideWhenUsed/>
    <w:rsid w:val="00D9246D"/>
    <w:pPr>
      <w:tabs>
        <w:tab w:val="center" w:pos="4536"/>
        <w:tab w:val="right" w:pos="9072"/>
      </w:tabs>
    </w:pPr>
  </w:style>
  <w:style w:type="character" w:customStyle="1" w:styleId="HeaderChar">
    <w:name w:val="Header Char"/>
    <w:basedOn w:val="DefaultParagraphFont"/>
    <w:link w:val="Header"/>
    <w:uiPriority w:val="99"/>
    <w:rsid w:val="00D9246D"/>
    <w:rPr>
      <w:rFonts w:ascii="Arial" w:hAnsi="Arial" w:cs="Times New Roman"/>
      <w:sz w:val="24"/>
      <w:szCs w:val="20"/>
    </w:rPr>
  </w:style>
  <w:style w:type="paragraph" w:styleId="Footer">
    <w:name w:val="footer"/>
    <w:basedOn w:val="Normal"/>
    <w:link w:val="FooterChar"/>
    <w:uiPriority w:val="99"/>
    <w:unhideWhenUsed/>
    <w:rsid w:val="00D9246D"/>
    <w:pPr>
      <w:tabs>
        <w:tab w:val="center" w:pos="4536"/>
        <w:tab w:val="right" w:pos="9072"/>
      </w:tabs>
    </w:pPr>
  </w:style>
  <w:style w:type="character" w:customStyle="1" w:styleId="FooterChar">
    <w:name w:val="Footer Char"/>
    <w:basedOn w:val="DefaultParagraphFont"/>
    <w:link w:val="Footer"/>
    <w:uiPriority w:val="99"/>
    <w:rsid w:val="00D9246D"/>
    <w:rPr>
      <w:rFonts w:ascii="Arial" w:hAnsi="Arial" w:cs="Times New Roman"/>
      <w:sz w:val="24"/>
      <w:szCs w:val="20"/>
    </w:rPr>
  </w:style>
  <w:style w:type="table" w:styleId="TableGrid">
    <w:name w:val="Table Grid"/>
    <w:basedOn w:val="TableNormal"/>
    <w:uiPriority w:val="39"/>
    <w:rsid w:val="00D9246D"/>
    <w:pPr>
      <w:spacing w:after="0" w:line="240" w:lineRule="auto"/>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9246D"/>
    <w:pPr>
      <w:spacing w:after="120"/>
    </w:pPr>
    <w:rPr>
      <w:rFonts w:eastAsiaTheme="minorHAnsi" w:cs="Arial"/>
      <w:szCs w:val="24"/>
    </w:rPr>
  </w:style>
  <w:style w:type="character" w:customStyle="1" w:styleId="BodyTextChar">
    <w:name w:val="Body Text Char"/>
    <w:basedOn w:val="DefaultParagraphFont"/>
    <w:link w:val="BodyText"/>
    <w:uiPriority w:val="99"/>
    <w:rsid w:val="00D9246D"/>
    <w:rPr>
      <w:rFonts w:ascii="Arial" w:eastAsiaTheme="minorHAnsi" w:hAnsi="Arial" w:cs="Arial"/>
      <w:sz w:val="24"/>
      <w:szCs w:val="24"/>
    </w:rPr>
  </w:style>
  <w:style w:type="character" w:styleId="CommentReference">
    <w:name w:val="annotation reference"/>
    <w:basedOn w:val="DefaultParagraphFont"/>
    <w:uiPriority w:val="99"/>
    <w:semiHidden/>
    <w:unhideWhenUsed/>
    <w:rsid w:val="006747BC"/>
    <w:rPr>
      <w:sz w:val="16"/>
      <w:szCs w:val="16"/>
    </w:rPr>
  </w:style>
  <w:style w:type="paragraph" w:styleId="CommentText">
    <w:name w:val="annotation text"/>
    <w:basedOn w:val="Normal"/>
    <w:link w:val="CommentTextChar"/>
    <w:uiPriority w:val="99"/>
    <w:semiHidden/>
    <w:unhideWhenUsed/>
    <w:rsid w:val="006747BC"/>
    <w:rPr>
      <w:sz w:val="20"/>
    </w:rPr>
  </w:style>
  <w:style w:type="character" w:customStyle="1" w:styleId="CommentTextChar">
    <w:name w:val="Comment Text Char"/>
    <w:basedOn w:val="DefaultParagraphFont"/>
    <w:link w:val="CommentText"/>
    <w:uiPriority w:val="99"/>
    <w:semiHidden/>
    <w:rsid w:val="006747BC"/>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6747BC"/>
    <w:rPr>
      <w:b/>
      <w:bCs/>
    </w:rPr>
  </w:style>
  <w:style w:type="character" w:customStyle="1" w:styleId="CommentSubjectChar">
    <w:name w:val="Comment Subject Char"/>
    <w:basedOn w:val="CommentTextChar"/>
    <w:link w:val="CommentSubject"/>
    <w:uiPriority w:val="99"/>
    <w:semiHidden/>
    <w:rsid w:val="006747BC"/>
    <w:rPr>
      <w:rFonts w:ascii="Arial" w:hAnsi="Arial" w:cs="Times New Roman"/>
      <w:b/>
      <w:bCs/>
      <w:sz w:val="20"/>
      <w:szCs w:val="20"/>
    </w:rPr>
  </w:style>
  <w:style w:type="paragraph" w:styleId="BalloonText">
    <w:name w:val="Balloon Text"/>
    <w:basedOn w:val="Normal"/>
    <w:link w:val="BalloonTextChar"/>
    <w:uiPriority w:val="99"/>
    <w:semiHidden/>
    <w:unhideWhenUsed/>
    <w:rsid w:val="0067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7BC"/>
    <w:rPr>
      <w:rFonts w:ascii="Segoe UI" w:hAnsi="Segoe UI" w:cs="Segoe UI"/>
      <w:sz w:val="18"/>
      <w:szCs w:val="18"/>
    </w:rPr>
  </w:style>
  <w:style w:type="paragraph" w:customStyle="1" w:styleId="ListDash">
    <w:name w:val="List Dash"/>
    <w:basedOn w:val="Normal"/>
    <w:rsid w:val="0071002D"/>
    <w:pPr>
      <w:numPr>
        <w:numId w:val="6"/>
      </w:numPr>
      <w:spacing w:before="120" w:after="120"/>
    </w:pPr>
    <w:rPr>
      <w:rFonts w:ascii="Times New Roman" w:hAnsi="Times New Roman"/>
      <w:szCs w:val="24"/>
      <w:lang w:eastAsia="de-DE"/>
    </w:rPr>
  </w:style>
  <w:style w:type="character" w:styleId="FollowedHyperlink">
    <w:name w:val="FollowedHyperlink"/>
    <w:basedOn w:val="DefaultParagraphFont"/>
    <w:uiPriority w:val="99"/>
    <w:semiHidden/>
    <w:unhideWhenUsed/>
    <w:rsid w:val="008E4ACD"/>
    <w:rPr>
      <w:color w:val="800080" w:themeColor="followedHyperlink"/>
      <w:u w:val="single"/>
    </w:rPr>
  </w:style>
  <w:style w:type="character" w:customStyle="1" w:styleId="Mencinsinresolver1">
    <w:name w:val="Mención sin resolver1"/>
    <w:basedOn w:val="DefaultParagraphFont"/>
    <w:uiPriority w:val="99"/>
    <w:semiHidden/>
    <w:unhideWhenUsed/>
    <w:rsid w:val="00B931E5"/>
    <w:rPr>
      <w:color w:val="605E5C"/>
      <w:shd w:val="clear" w:color="auto" w:fill="E1DFDD"/>
    </w:rPr>
  </w:style>
  <w:style w:type="paragraph" w:styleId="NoSpacing">
    <w:name w:val="No Spacing"/>
    <w:uiPriority w:val="1"/>
    <w:qFormat/>
    <w:rsid w:val="00077016"/>
    <w:pPr>
      <w:spacing w:after="0" w:line="240" w:lineRule="auto"/>
    </w:pPr>
    <w:rPr>
      <w:rFonts w:eastAsiaTheme="minorHAnsi"/>
    </w:rPr>
  </w:style>
  <w:style w:type="character" w:customStyle="1" w:styleId="UnresolvedMention1">
    <w:name w:val="Unresolved Mention1"/>
    <w:basedOn w:val="DefaultParagraphFont"/>
    <w:uiPriority w:val="99"/>
    <w:semiHidden/>
    <w:unhideWhenUsed/>
    <w:rsid w:val="00B332F6"/>
    <w:rPr>
      <w:color w:val="605E5C"/>
      <w:shd w:val="clear" w:color="auto" w:fill="E1DFDD"/>
    </w:rPr>
  </w:style>
  <w:style w:type="paragraph" w:customStyle="1" w:styleId="SingleTxtG">
    <w:name w:val="_ Single Txt_G"/>
    <w:basedOn w:val="Normal"/>
    <w:link w:val="SingleTxtGChar"/>
    <w:rsid w:val="003A778A"/>
    <w:pPr>
      <w:suppressAutoHyphens/>
      <w:spacing w:after="120" w:line="240" w:lineRule="atLeast"/>
      <w:ind w:left="1134" w:right="1134"/>
    </w:pPr>
    <w:rPr>
      <w:rFonts w:ascii="Times New Roman" w:eastAsia="SimSun" w:hAnsi="Times New Roman"/>
      <w:sz w:val="20"/>
      <w:lang w:eastAsia="zh-CN"/>
    </w:rPr>
  </w:style>
  <w:style w:type="character" w:customStyle="1" w:styleId="SingleTxtGChar">
    <w:name w:val="_ Single Txt_G Char"/>
    <w:basedOn w:val="DefaultParagraphFont"/>
    <w:link w:val="SingleTxtG"/>
    <w:rsid w:val="003A778A"/>
    <w:rPr>
      <w:rFonts w:ascii="Times New Roman" w:eastAsia="SimSun" w:hAnsi="Times New Roman" w:cs="Times New Roman"/>
      <w:sz w:val="20"/>
      <w:szCs w:val="20"/>
      <w:lang w:eastAsia="zh-CN"/>
    </w:rPr>
  </w:style>
  <w:style w:type="character" w:customStyle="1" w:styleId="UnresolvedMention2">
    <w:name w:val="Unresolved Mention2"/>
    <w:basedOn w:val="DefaultParagraphFont"/>
    <w:uiPriority w:val="99"/>
    <w:semiHidden/>
    <w:unhideWhenUsed/>
    <w:rsid w:val="008F5244"/>
    <w:rPr>
      <w:color w:val="605E5C"/>
      <w:shd w:val="clear" w:color="auto" w:fill="E1DFDD"/>
    </w:rPr>
  </w:style>
  <w:style w:type="paragraph" w:styleId="Revision">
    <w:name w:val="Revision"/>
    <w:hidden/>
    <w:uiPriority w:val="99"/>
    <w:semiHidden/>
    <w:rsid w:val="0030687B"/>
    <w:pPr>
      <w:spacing w:after="0" w:line="240" w:lineRule="auto"/>
    </w:pPr>
    <w:rPr>
      <w:rFonts w:ascii="Arial" w:hAnsi="Arial" w:cs="Times New Roman"/>
      <w:sz w:val="24"/>
      <w:szCs w:val="20"/>
    </w:rPr>
  </w:style>
  <w:style w:type="character" w:customStyle="1" w:styleId="UnresolvedMention3">
    <w:name w:val="Unresolved Mention3"/>
    <w:basedOn w:val="DefaultParagraphFont"/>
    <w:uiPriority w:val="99"/>
    <w:semiHidden/>
    <w:unhideWhenUsed/>
    <w:rsid w:val="00E6431F"/>
    <w:rPr>
      <w:color w:val="605E5C"/>
      <w:shd w:val="clear" w:color="auto" w:fill="E1DFDD"/>
    </w:rPr>
  </w:style>
  <w:style w:type="character" w:styleId="UnresolvedMention">
    <w:name w:val="Unresolved Mention"/>
    <w:basedOn w:val="DefaultParagraphFont"/>
    <w:uiPriority w:val="99"/>
    <w:semiHidden/>
    <w:unhideWhenUsed/>
    <w:rsid w:val="00B446F1"/>
    <w:rPr>
      <w:color w:val="605E5C"/>
      <w:shd w:val="clear" w:color="auto" w:fill="E1DFDD"/>
    </w:rPr>
  </w:style>
  <w:style w:type="paragraph" w:customStyle="1" w:styleId="pragraph">
    <w:name w:val="pragraph"/>
    <w:basedOn w:val="ListParagraph"/>
    <w:link w:val="pragraphChar"/>
    <w:qFormat/>
    <w:rsid w:val="00EE2C62"/>
    <w:pPr>
      <w:numPr>
        <w:numId w:val="32"/>
      </w:numPr>
      <w:ind w:left="567" w:hanging="567"/>
    </w:pPr>
    <w:rPr>
      <w:rFonts w:cs="Arial"/>
      <w:szCs w:val="24"/>
    </w:rPr>
  </w:style>
  <w:style w:type="character" w:customStyle="1" w:styleId="ListParagraphChar">
    <w:name w:val="List Paragraph Char"/>
    <w:basedOn w:val="DefaultParagraphFont"/>
    <w:link w:val="ListParagraph"/>
    <w:uiPriority w:val="34"/>
    <w:rsid w:val="00EE2C62"/>
    <w:rPr>
      <w:rFonts w:ascii="Arial" w:hAnsi="Arial" w:cs="Times New Roman"/>
      <w:sz w:val="24"/>
      <w:szCs w:val="20"/>
      <w:lang w:eastAsia="en-GB"/>
    </w:rPr>
  </w:style>
  <w:style w:type="character" w:customStyle="1" w:styleId="pragraphChar">
    <w:name w:val="pragraph Char"/>
    <w:basedOn w:val="ListParagraphChar"/>
    <w:link w:val="pragraph"/>
    <w:rsid w:val="00EE2C62"/>
    <w:rPr>
      <w:rFonts w:ascii="Arial"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57801">
      <w:bodyDiv w:val="1"/>
      <w:marLeft w:val="0"/>
      <w:marRight w:val="0"/>
      <w:marTop w:val="0"/>
      <w:marBottom w:val="0"/>
      <w:divBdr>
        <w:top w:val="none" w:sz="0" w:space="0" w:color="auto"/>
        <w:left w:val="none" w:sz="0" w:space="0" w:color="auto"/>
        <w:bottom w:val="none" w:sz="0" w:space="0" w:color="auto"/>
        <w:right w:val="none" w:sz="0" w:space="0" w:color="auto"/>
      </w:divBdr>
    </w:div>
    <w:div w:id="288321589">
      <w:bodyDiv w:val="1"/>
      <w:marLeft w:val="0"/>
      <w:marRight w:val="0"/>
      <w:marTop w:val="0"/>
      <w:marBottom w:val="0"/>
      <w:divBdr>
        <w:top w:val="none" w:sz="0" w:space="0" w:color="auto"/>
        <w:left w:val="none" w:sz="0" w:space="0" w:color="auto"/>
        <w:bottom w:val="none" w:sz="0" w:space="0" w:color="auto"/>
        <w:right w:val="none" w:sz="0" w:space="0" w:color="auto"/>
      </w:divBdr>
    </w:div>
    <w:div w:id="505442339">
      <w:bodyDiv w:val="1"/>
      <w:marLeft w:val="0"/>
      <w:marRight w:val="0"/>
      <w:marTop w:val="0"/>
      <w:marBottom w:val="0"/>
      <w:divBdr>
        <w:top w:val="none" w:sz="0" w:space="0" w:color="auto"/>
        <w:left w:val="none" w:sz="0" w:space="0" w:color="auto"/>
        <w:bottom w:val="none" w:sz="0" w:space="0" w:color="auto"/>
        <w:right w:val="none" w:sz="0" w:space="0" w:color="auto"/>
      </w:divBdr>
    </w:div>
    <w:div w:id="510872333">
      <w:bodyDiv w:val="1"/>
      <w:marLeft w:val="0"/>
      <w:marRight w:val="0"/>
      <w:marTop w:val="0"/>
      <w:marBottom w:val="0"/>
      <w:divBdr>
        <w:top w:val="none" w:sz="0" w:space="0" w:color="auto"/>
        <w:left w:val="none" w:sz="0" w:space="0" w:color="auto"/>
        <w:bottom w:val="none" w:sz="0" w:space="0" w:color="auto"/>
        <w:right w:val="none" w:sz="0" w:space="0" w:color="auto"/>
      </w:divBdr>
    </w:div>
    <w:div w:id="1154836707">
      <w:bodyDiv w:val="1"/>
      <w:marLeft w:val="0"/>
      <w:marRight w:val="0"/>
      <w:marTop w:val="0"/>
      <w:marBottom w:val="0"/>
      <w:divBdr>
        <w:top w:val="none" w:sz="0" w:space="0" w:color="auto"/>
        <w:left w:val="none" w:sz="0" w:space="0" w:color="auto"/>
        <w:bottom w:val="none" w:sz="0" w:space="0" w:color="auto"/>
        <w:right w:val="none" w:sz="0" w:space="0" w:color="auto"/>
      </w:divBdr>
    </w:div>
    <w:div w:id="1169100613">
      <w:bodyDiv w:val="1"/>
      <w:marLeft w:val="0"/>
      <w:marRight w:val="0"/>
      <w:marTop w:val="0"/>
      <w:marBottom w:val="0"/>
      <w:divBdr>
        <w:top w:val="none" w:sz="0" w:space="0" w:color="auto"/>
        <w:left w:val="none" w:sz="0" w:space="0" w:color="auto"/>
        <w:bottom w:val="none" w:sz="0" w:space="0" w:color="auto"/>
        <w:right w:val="none" w:sz="0" w:space="0" w:color="auto"/>
      </w:divBdr>
    </w:div>
    <w:div w:id="1188524298">
      <w:bodyDiv w:val="1"/>
      <w:marLeft w:val="0"/>
      <w:marRight w:val="0"/>
      <w:marTop w:val="0"/>
      <w:marBottom w:val="0"/>
      <w:divBdr>
        <w:top w:val="none" w:sz="0" w:space="0" w:color="auto"/>
        <w:left w:val="none" w:sz="0" w:space="0" w:color="auto"/>
        <w:bottom w:val="none" w:sz="0" w:space="0" w:color="auto"/>
        <w:right w:val="none" w:sz="0" w:space="0" w:color="auto"/>
      </w:divBdr>
    </w:div>
    <w:div w:id="1251356046">
      <w:bodyDiv w:val="1"/>
      <w:marLeft w:val="0"/>
      <w:marRight w:val="0"/>
      <w:marTop w:val="0"/>
      <w:marBottom w:val="0"/>
      <w:divBdr>
        <w:top w:val="none" w:sz="0" w:space="0" w:color="auto"/>
        <w:left w:val="none" w:sz="0" w:space="0" w:color="auto"/>
        <w:bottom w:val="none" w:sz="0" w:space="0" w:color="auto"/>
        <w:right w:val="none" w:sz="0" w:space="0" w:color="auto"/>
      </w:divBdr>
    </w:div>
    <w:div w:id="1265920099">
      <w:bodyDiv w:val="1"/>
      <w:marLeft w:val="0"/>
      <w:marRight w:val="0"/>
      <w:marTop w:val="0"/>
      <w:marBottom w:val="0"/>
      <w:divBdr>
        <w:top w:val="none" w:sz="0" w:space="0" w:color="auto"/>
        <w:left w:val="none" w:sz="0" w:space="0" w:color="auto"/>
        <w:bottom w:val="none" w:sz="0" w:space="0" w:color="auto"/>
        <w:right w:val="none" w:sz="0" w:space="0" w:color="auto"/>
      </w:divBdr>
    </w:div>
    <w:div w:id="135361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serso.es/imserso_01/documentacion/estadisticas/info_d/estadisticas/est_inf/inf_gp/index.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enainclusion.org/"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imserso.es/InterPresent2/groups/imserso/documents/binario/estsisaad20151231.pdf" TargetMode="External"/><Relationship Id="rId18" Type="http://schemas.openxmlformats.org/officeDocument/2006/relationships/hyperlink" Target="http://semanal.cermi.es/noticia/opinion-derecho-vida-independiente-horizonte-lejano-maria-jose-alonso-parreno.aspx" TargetMode="External"/><Relationship Id="rId26" Type="http://schemas.openxmlformats.org/officeDocument/2006/relationships/hyperlink" Target="https://www.cermi.es/sites/default/files/docs/colecciones/Informe%202017%201_0.pdf" TargetMode="External"/><Relationship Id="rId39" Type="http://schemas.openxmlformats.org/officeDocument/2006/relationships/hyperlink" Target="http://www.fundacionpilares.org/docs/publicaciones/fpilares-guia02-domicilios-comunidad-2017.pdf" TargetMode="External"/><Relationship Id="rId21" Type="http://schemas.openxmlformats.org/officeDocument/2006/relationships/hyperlink" Target="https://fra.europa.eu/sites/default/files/fra_uploads/2017-10-independent-living-mapping-paper_en.pdf" TargetMode="External"/><Relationship Id="rId34" Type="http://schemas.openxmlformats.org/officeDocument/2006/relationships/hyperlink" Target="http://www.plenainclusion.org/informate/actualidad/noticias/2016/posicionamiento-de-plena-inclusion-sobre-personas-con" TargetMode="External"/><Relationship Id="rId42" Type="http://schemas.openxmlformats.org/officeDocument/2006/relationships/hyperlink" Target="https://documents-ddsny.un.org/doc/UNDOC/GEN/G17/107/99/PDF/G1710799.pdf?OpenElement" TargetMode="External"/><Relationship Id="rId47" Type="http://schemas.openxmlformats.org/officeDocument/2006/relationships/hyperlink" Target="http://interlinks.euro.centre.org/countries/spain" TargetMode="External"/><Relationship Id="rId50" Type="http://schemas.openxmlformats.org/officeDocument/2006/relationships/hyperlink" Target="https://www.easpd.eu/en" TargetMode="External"/><Relationship Id="rId55" Type="http://schemas.openxmlformats.org/officeDocument/2006/relationships/hyperlink" Target="http://www.inclusion-europe.eu/" TargetMode="External"/><Relationship Id="rId63" Type="http://schemas.openxmlformats.org/officeDocument/2006/relationships/hyperlink" Target="https://tbinternet.ohchr.org/Treaties/CRPD/Shared%20Documents/ESP/INT_CRPD_CSS_ESP_33976_E.docx" TargetMode="External"/><Relationship Id="rId68" Type="http://schemas.openxmlformats.org/officeDocument/2006/relationships/hyperlink" Target="http://observatoriodeladiscapacidad.info/attachments/article/65/ESTUDIO%20INSTITUCIONALIZACION%20PCD.pdf" TargetMode="External"/><Relationship Id="rId76" Type="http://schemas.openxmlformats.org/officeDocument/2006/relationships/hyperlink" Target="http://www.infocoponline.es/pdf/BOCG-12-D-150.pdf" TargetMode="External"/><Relationship Id="rId7" Type="http://schemas.openxmlformats.org/officeDocument/2006/relationships/hyperlink" Target="http://www.imserso.es/InterPresent1/groups/imserso/documents/binario/estsisaad20190131.pdf" TargetMode="External"/><Relationship Id="rId71" Type="http://schemas.openxmlformats.org/officeDocument/2006/relationships/hyperlink" Target="http://www.oecd.org/els/health-systems/47887770.pdf" TargetMode="External"/><Relationship Id="rId2" Type="http://schemas.openxmlformats.org/officeDocument/2006/relationships/hyperlink" Target="http://sid.usal.es/estadisticas_edad2008.asp" TargetMode="External"/><Relationship Id="rId16" Type="http://schemas.openxmlformats.org/officeDocument/2006/relationships/hyperlink" Target="http://www.imserso.es/InterPresent2/groups/imserso/documents/binario/estsisaad20181231.pdf" TargetMode="External"/><Relationship Id="rId29" Type="http://schemas.openxmlformats.org/officeDocument/2006/relationships/hyperlink" Target="https://www.disabilityeurope.net/dotcom?l%5B%5D=31&amp;t%5B%5D=23&amp;t%5B%5D=24&amp;t%5B%5D=25&amp;t%5B%5D=26&amp;t%5B%5D=27&amp;t%5B%5D=28&amp;t%5B%5D=29&amp;t%5B%5D=30&amp;view_type=list" TargetMode="External"/><Relationship Id="rId11" Type="http://schemas.openxmlformats.org/officeDocument/2006/relationships/hyperlink" Target="http://www.imserso.es/InterPresent2/groups/imserso/documents/binario/im_082047.pdf" TargetMode="External"/><Relationship Id="rId24" Type="http://schemas.openxmlformats.org/officeDocument/2006/relationships/hyperlink" Target="http://docstore.ohchr.org/SelfServices/FilesHandler.ashx?enc=6QkG1d%2FPPRiCAqhKb7yhslxq2MulDp%2FqMKQ6SGOn0%2FNZ5trZrfgNmKdTjE%2FScMKF96xMrtyzhDx7aguCpqdK4xQVGCY502yRGHBFyeVZXNw00SiVNraxD5auFDv%2FVv2m" TargetMode="External"/><Relationship Id="rId32" Type="http://schemas.openxmlformats.org/officeDocument/2006/relationships/hyperlink" Target="http://www.infocoponline.es/pdf/BOCG-12-D-150.pdf" TargetMode="External"/><Relationship Id="rId37" Type="http://schemas.openxmlformats.org/officeDocument/2006/relationships/hyperlink" Target="http://www.fundacionpilares.org/docs/publicaciones/fpilares-guia02-domicilios-comunidad-2017.pdf" TargetMode="External"/><Relationship Id="rId40" Type="http://schemas.openxmlformats.org/officeDocument/2006/relationships/hyperlink" Target="https://www.cedd.net/redis/index.php/redis/article/view/370/pdf_99" TargetMode="External"/><Relationship Id="rId45" Type="http://schemas.openxmlformats.org/officeDocument/2006/relationships/hyperlink" Target="http://docstore.ohchr.org/SelfServices/FilesHandler.ashx?enc=6QkG1d%2fPPRiCAqhKb7yhslxq2MulDp%2fqMKQ6SGOn0%2fM4rP4Sn04ITU2hnYsbysiJg%2fxfpTWmXHihRhuR7jOTgZj9F0rGUx5uDEEPk8d0jgsBRMl07efi1K3EB%2f1Pr1%2b1" TargetMode="External"/><Relationship Id="rId53" Type="http://schemas.openxmlformats.org/officeDocument/2006/relationships/hyperlink" Target="http://community-living.info/" TargetMode="External"/><Relationship Id="rId58" Type="http://schemas.openxmlformats.org/officeDocument/2006/relationships/hyperlink" Target="https://www.wearelumos.org/" TargetMode="External"/><Relationship Id="rId66" Type="http://schemas.openxmlformats.org/officeDocument/2006/relationships/hyperlink" Target="https://tbinternet.ohchr.org/Treaties/CRPD/Shared%20Documents/ESP/INT_CRPD_ICS_ESP_26882_E.doc" TargetMode="External"/><Relationship Id="rId74" Type="http://schemas.openxmlformats.org/officeDocument/2006/relationships/hyperlink" Target="http://www.plenainclusion.org/informate/campa%C3%B1as/todos-somos-todos" TargetMode="External"/><Relationship Id="rId79" Type="http://schemas.openxmlformats.org/officeDocument/2006/relationships/hyperlink" Target="http://www.fundacionpilares.org/programas/cuidamos-contigo/index.php" TargetMode="External"/><Relationship Id="rId5" Type="http://schemas.openxmlformats.org/officeDocument/2006/relationships/hyperlink" Target="http://www.plenainclusion.org/sites/default/files/30-11-16-todossomostodos-informeejecutivo.pdf" TargetMode="External"/><Relationship Id="rId61" Type="http://schemas.openxmlformats.org/officeDocument/2006/relationships/hyperlink" Target="https://tbinternet.ohchr.org/_layouts/treatybodyexternal/Download.aspx?symbolno=INT%2fCRPD%2fIFR%2fESP%2f34071&amp;Lang=en" TargetMode="External"/><Relationship Id="rId82" Type="http://schemas.openxmlformats.org/officeDocument/2006/relationships/hyperlink" Target="https://media-edg.barcelona.cat/wp-content/uploads/2018/05/24162501/PROYECTO-MI-CASA.pdf" TargetMode="External"/><Relationship Id="rId10" Type="http://schemas.openxmlformats.org/officeDocument/2006/relationships/hyperlink" Target="http://www.imserso.es/InterPresent2/groups/imserso/documents/binario/im_070847.pdf" TargetMode="External"/><Relationship Id="rId19" Type="http://schemas.openxmlformats.org/officeDocument/2006/relationships/hyperlink" Target="https://www.disabilityeurope.net/dotcom?l%5B%5D=31&amp;t%5B%5D=23&amp;t%5B%5D=24&amp;t%5B%5D=25&amp;t%5B%5D=26&amp;t%5B%5D=27&amp;t%5B%5D=28&amp;t%5B%5D=29&amp;t%5B%5D=30&amp;view_type=list" TargetMode="External"/><Relationship Id="rId31" Type="http://schemas.openxmlformats.org/officeDocument/2006/relationships/hyperlink" Target="https://eustructuralfundswatchdotcom.files.wordpress.com/2017/11/cle-sfw_opening-upcommunities-november-2017_final.pdf" TargetMode="External"/><Relationship Id="rId44" Type="http://schemas.openxmlformats.org/officeDocument/2006/relationships/hyperlink" Target="http://docstore.ohchr.org/SelfServices/FilesHandler.ashx?enc=6QkG1d%2fPPRiCAqhKb7yhslxq2MulDp%2fqMKQ6SGOn0%2fM4rP4Sn04ITU2hnYsbysiJg%2fxfpTWmXHihRhuR7jOTgZj9F0rGUx5uDEEPk8d0jgsBRMl07efi1K3EB%2f1Pr1%2b1" TargetMode="External"/><Relationship Id="rId52" Type="http://schemas.openxmlformats.org/officeDocument/2006/relationships/hyperlink" Target="https://enil.eu/" TargetMode="External"/><Relationship Id="rId60" Type="http://schemas.openxmlformats.org/officeDocument/2006/relationships/hyperlink" Target="https://www.opensocietyfoundations.org" TargetMode="External"/><Relationship Id="rId65" Type="http://schemas.openxmlformats.org/officeDocument/2006/relationships/hyperlink" Target="https://tbinternet.ohchr.org/Treaties/CRPD/Shared%20Documents/ESP/INT_CRPD_ICS_ESP_26884_S.doc" TargetMode="External"/><Relationship Id="rId73" Type="http://schemas.openxmlformats.org/officeDocument/2006/relationships/hyperlink" Target="https://www.researchgate.net/publication/30523444_Deinstitutionalisation_and_community_living-outcomes_and_costs_report_of_a_European_Study_Volume_2_Main_Report" TargetMode="External"/><Relationship Id="rId78" Type="http://schemas.openxmlformats.org/officeDocument/2006/relationships/hyperlink" Target="http://www.fundacionpilares.org/docs/programas/cuidamos-contigo/memoria-cuidamoscontigo-2014-2015.pdf" TargetMode="External"/><Relationship Id="rId81" Type="http://schemas.openxmlformats.org/officeDocument/2006/relationships/hyperlink" Target="https://media-edg.barcelona.cat/wp-content/uploads/2018/05/24162501/PROYECTO-MI-CASA.pdf" TargetMode="External"/><Relationship Id="rId4" Type="http://schemas.openxmlformats.org/officeDocument/2006/relationships/hyperlink" Target="https://observatoriodeladiscapacidad.info/attachments/article/65/ESTUDIO%20INSTITUCIONALIZACION%20PCD.pdf" TargetMode="External"/><Relationship Id="rId9" Type="http://schemas.openxmlformats.org/officeDocument/2006/relationships/hyperlink" Target="http://www.imserso.es/InterPresent2/groups/imserso/documents/binario/estsisaad20111201.pdf" TargetMode="External"/><Relationship Id="rId14" Type="http://schemas.openxmlformats.org/officeDocument/2006/relationships/hyperlink" Target="http://www.imserso.es/InterPresent2/groups/imserso/documents/binario/estsisaad20161231.pdf" TargetMode="External"/><Relationship Id="rId22" Type="http://schemas.openxmlformats.org/officeDocument/2006/relationships/hyperlink" Target="https://fra.europa.eu/sites/default/files/fra_uploads/2017-10-independent-living-mapping-paper_en.pdf" TargetMode="External"/><Relationship Id="rId27" Type="http://schemas.openxmlformats.org/officeDocument/2006/relationships/hyperlink" Target="https://www.disabilityeurope.net/dotcom?l%5B%5D=31&amp;t%5B%5D=23&amp;t%5B%5D=24&amp;t%5B%5D=25&amp;t%5B%5D=26&amp;t%5B%5D=27&amp;t%5B%5D=28&amp;t%5B%5D=29&amp;t%5B%5D=30&amp;view_type=list" TargetMode="External"/><Relationship Id="rId30" Type="http://schemas.openxmlformats.org/officeDocument/2006/relationships/hyperlink" Target="https://eustructuralfundswatchdotcom.files.wordpress.com/2017/11/cle-sfw_opening-upcommunities-november-2017_final.pdf" TargetMode="External"/><Relationship Id="rId35" Type="http://schemas.openxmlformats.org/officeDocument/2006/relationships/hyperlink" Target="http://ec.europa.eu/esf/main.jsp?catId=46&amp;langId=es&amp;keywords=&amp;theme=0&amp;country=378&amp;list=1=" TargetMode="External"/><Relationship Id="rId43" Type="http://schemas.openxmlformats.org/officeDocument/2006/relationships/hyperlink" Target="https://documents-dds-ny.un.org/doc/UNDOC/GEN/G17/107/99/PDF/G1710799.pdf?OpenElement" TargetMode="External"/><Relationship Id="rId48" Type="http://schemas.openxmlformats.org/officeDocument/2006/relationships/hyperlink" Target="http://interlinks.euro.centre.org/sites/default/files/ES_Mrs.LTCarerev.pdf" TargetMode="External"/><Relationship Id="rId56" Type="http://schemas.openxmlformats.org/officeDocument/2006/relationships/hyperlink" Target="https://www.inclusion-europe.eu/wp-content/uploads/2017/07/Submission-to-the-Draft-General-Comment-No-5-on-Article-19.pdf" TargetMode="External"/><Relationship Id="rId64" Type="http://schemas.openxmlformats.org/officeDocument/2006/relationships/hyperlink" Target="https://www.disability-europe.net/country/spain" TargetMode="External"/><Relationship Id="rId69" Type="http://schemas.openxmlformats.org/officeDocument/2006/relationships/hyperlink" Target="https://read.oecd-ilibrary.org/social-issues-migration-health/help-wanted_9789264097759-en" TargetMode="External"/><Relationship Id="rId77" Type="http://schemas.openxmlformats.org/officeDocument/2006/relationships/hyperlink" Target="http://www.fundacionpilares.org/docs/publicaciones/fpilares-guia02-domicilios-comunidad-2017.pdf" TargetMode="External"/><Relationship Id="rId8" Type="http://schemas.openxmlformats.org/officeDocument/2006/relationships/hyperlink" Target="http://www.imserso.es/InterPresent2/groups/imserso/documents/binario/estsisaad20101201.pdf" TargetMode="External"/><Relationship Id="rId51" Type="http://schemas.openxmlformats.org/officeDocument/2006/relationships/hyperlink" Target="http://www.edf-feph.org/search/node/deinstitutionalization" TargetMode="External"/><Relationship Id="rId72" Type="http://schemas.openxmlformats.org/officeDocument/2006/relationships/hyperlink" Target="http://www.plenainclusion.org/sites/default/files/30-11-16-todossomostodos-informeejecutivo.pdf" TargetMode="External"/><Relationship Id="rId80" Type="http://schemas.openxmlformats.org/officeDocument/2006/relationships/hyperlink" Target="https://media-edg.barcelona.cat/wp-content/uploads/2018/05/24162501/PROYECTO-MI-CASA.pdf" TargetMode="External"/><Relationship Id="rId3" Type="http://schemas.openxmlformats.org/officeDocument/2006/relationships/hyperlink" Target="https://observatoriodeladiscapacidad.info/attachments/article/65/ESTUDIO%20INSTITUCIONALIZACION%20PCD.pdf" TargetMode="External"/><Relationship Id="rId12" Type="http://schemas.openxmlformats.org/officeDocument/2006/relationships/hyperlink" Target="http://www.imserso.es/InterPresent2/groups/imserso/documents/binario/estsisaad20141231.pdf" TargetMode="External"/><Relationship Id="rId17" Type="http://schemas.openxmlformats.org/officeDocument/2006/relationships/hyperlink" Target="http://semanal.cermi.es/noticia/opinion-derecho-vida-independiente-horizonte-lejano-maria-jose-alonso-parreno.aspx" TargetMode="External"/><Relationship Id="rId25" Type="http://schemas.openxmlformats.org/officeDocument/2006/relationships/hyperlink" Target="https://www.cermi.es/sites/default/files/docs/colecciones/Informe%202017%201_0.pdf" TargetMode="External"/><Relationship Id="rId33" Type="http://schemas.openxmlformats.org/officeDocument/2006/relationships/hyperlink" Target="http://www.plenainclusion.org/informate/actualidad/noticias/2016/posicionamiento-de-plena-inclusion-sobre-personas-con" TargetMode="External"/><Relationship Id="rId38" Type="http://schemas.openxmlformats.org/officeDocument/2006/relationships/hyperlink" Target="http://www.plenainclusion.org/informate/actualidad/noticias/2018/celebramos-el-primer-seminario-del-proyecto-mi-casa-sobre-los" TargetMode="External"/><Relationship Id="rId46" Type="http://schemas.openxmlformats.org/officeDocument/2006/relationships/hyperlink" Target="http://docstore.ohchr.org/SelfServices/FilesHandler.ashx?enc=6QkG1d%2FPPRiCAqhKb7yhslxq2MulDp%2FqMKQ6SGOn0%2FNZ5trZrfgNmKdTjE%2FScMKF96xMrtyzhDx7aguCpqdK4xQVGCY502yRGHBFyeVZXNw00SiVNraxD5auFDv%2FVv2m" TargetMode="External"/><Relationship Id="rId59" Type="http://schemas.openxmlformats.org/officeDocument/2006/relationships/hyperlink" Target="https://mhe-sme.org/" TargetMode="External"/><Relationship Id="rId67" Type="http://schemas.openxmlformats.org/officeDocument/2006/relationships/hyperlink" Target="https://tbinternet.ohchr.org/Treaties/CRPD/Shared%20Documents/ESP/INT_CRPD_NHS_ESP_33289_S.pdf" TargetMode="External"/><Relationship Id="rId20" Type="http://schemas.openxmlformats.org/officeDocument/2006/relationships/hyperlink" Target="https://fra.europa.eu/sites/default/files/fra_uploads/2017-10-independent-living-mapping-paper_en.pdf" TargetMode="External"/><Relationship Id="rId41" Type="http://schemas.openxmlformats.org/officeDocument/2006/relationships/hyperlink" Target="http://revistas.usal.es/index.php/0210-1696/article/download/scero2017484766/18532" TargetMode="External"/><Relationship Id="rId54" Type="http://schemas.openxmlformats.org/officeDocument/2006/relationships/hyperlink" Target="https://www.esn-eu.org/" TargetMode="External"/><Relationship Id="rId62" Type="http://schemas.openxmlformats.org/officeDocument/2006/relationships/hyperlink" Target="https://tbinternet.ohchr.org/_layouts/treatybodyexternal/Download.aspx?symbolno=INT%2fCRPD%2fIFR%2fESP%2f34071&amp;Lang=en" TargetMode="External"/><Relationship Id="rId70" Type="http://schemas.openxmlformats.org/officeDocument/2006/relationships/hyperlink" Target="http://www.oecd.org/health/health-systems/Help-Wanted-Policy-Brief.pdf" TargetMode="External"/><Relationship Id="rId75" Type="http://schemas.openxmlformats.org/officeDocument/2006/relationships/hyperlink" Target="http://www.plenainclusion.org/informate/actualidad/noticias/2016/posicionamiento-de-plena-inclusion-sobre-personas-con" TargetMode="External"/><Relationship Id="rId1" Type="http://schemas.openxmlformats.org/officeDocument/2006/relationships/hyperlink" Target="https://observatoriodeladiscapacidad.info/attachments/article/65/ESTUDIO%20INSTITUCIONALIZACION%20PCD.pdf" TargetMode="External"/><Relationship Id="rId6" Type="http://schemas.openxmlformats.org/officeDocument/2006/relationships/hyperlink" Target="http://semanal.cermi.es/noticia/opinion-derecho-vida-independiente-horizonte-lejano-maria-jose-alonso-parreno.aspx" TargetMode="External"/><Relationship Id="rId15" Type="http://schemas.openxmlformats.org/officeDocument/2006/relationships/hyperlink" Target="http://www.imserso.es/InterPresent2/groups/imserso/documents/binario/estsisaad20171231.pdf" TargetMode="External"/><Relationship Id="rId23" Type="http://schemas.openxmlformats.org/officeDocument/2006/relationships/hyperlink" Target="http://semanal.cermi.es/noticia/opinion-derecho-vida-independiente-horizonte-lejano-maria-jose-alonso-parreno.aspx" TargetMode="External"/><Relationship Id="rId28" Type="http://schemas.openxmlformats.org/officeDocument/2006/relationships/hyperlink" Target="http://semanal.cermi.es/noticia/opinion-derecho-vida-independiente-horizonte-lejano-maria-jose-alonso-parreno.aspx" TargetMode="External"/><Relationship Id="rId36" Type="http://schemas.openxmlformats.org/officeDocument/2006/relationships/hyperlink" Target="http://ec.europa.eu/esf/main.jsp?catId=46&amp;langId=es&amp;keywords=&amp;theme=0&amp;country=378&amp;list=1" TargetMode="External"/><Relationship Id="rId49" Type="http://schemas.openxmlformats.org/officeDocument/2006/relationships/hyperlink" Target="http://www.coface-eu.org/category/disability/deinstitutionalisation/" TargetMode="External"/><Relationship Id="rId57" Type="http://schemas.openxmlformats.org/officeDocument/2006/relationships/hyperlink" Target="https://www.inclusion-europe.eu/people-with-complex-support-needs-how-they-can-live-in-the-community/?highlight=deinstitutional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B4B4F-A2FA-474C-A4EE-65B591334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10882</Words>
  <Characters>59851</Characters>
  <Application>Microsoft Office Word</Application>
  <DocSecurity>0</DocSecurity>
  <Lines>498</Lines>
  <Paragraphs>141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Rebecca van Midden</cp:lastModifiedBy>
  <cp:revision>3</cp:revision>
  <cp:lastPrinted>2018-12-07T07:47:00Z</cp:lastPrinted>
  <dcterms:created xsi:type="dcterms:W3CDTF">2019-05-01T11:13:00Z</dcterms:created>
  <dcterms:modified xsi:type="dcterms:W3CDTF">2019-05-01T11:20:00Z</dcterms:modified>
</cp:coreProperties>
</file>